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9DF9" w14:textId="77777777" w:rsidR="00AC1705" w:rsidRDefault="00052E54"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F364DC5" wp14:editId="015240E2">
                <wp:simplePos x="0" y="0"/>
                <wp:positionH relativeFrom="column">
                  <wp:posOffset>-405765</wp:posOffset>
                </wp:positionH>
                <wp:positionV relativeFrom="paragraph">
                  <wp:posOffset>-330302</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1.95pt;margin-top:-2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" fillcolor="#4a7194" stroked="f" strokeweight="2pt"/>
            </w:pict>
          </mc:Fallback>
        </mc:AlternateContent>
      </w:r>
    </w:p>
    <w:p w14:paraId="26983DF0" w14:textId="77777777" w:rsidR="00040C3A" w:rsidRPr="0090270B" w:rsidRDefault="003E6CA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4B8FC810" wp14:editId="65FADCD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C32A8" w14:textId="77777777" w:rsidR="00CD0E5C" w:rsidRDefault="00CD0E5C" w:rsidP="00AE5488">
                            <w:r>
                              <w:rPr>
                                <w:noProof/>
                                <w:lang w:val="en-US"/>
                              </w:rPr>
                              <w:drawing>
                                <wp:inline distT="0" distB="0" distL="0" distR="0" wp14:anchorId="7DAF55D6" wp14:editId="4A7CEE4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D0E5C" w:rsidRDefault="00CD0E5C" w:rsidP="00AE5488">
                      <w:r>
                        <w:rPr>
                          <w:noProof/>
                          <w:lang w:val="en-US"/>
                        </w:rPr>
                        <w:drawing>
                          <wp:inline distT="0" distB="0" distL="0" distR="0" wp14:anchorId="72EE6D3E" wp14:editId="3FE1E2FA">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mc:Fallback>
        </mc:AlternateContent>
      </w:r>
    </w:p>
    <w:p w14:paraId="398CE9EB"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DF6AC0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B3218E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BF13A4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0561ED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2E9346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78B622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9404D4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2E0722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89381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638804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9DDBB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301DC1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63F7E16D" wp14:editId="378FF5F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FF94E" w14:textId="77777777" w:rsidR="00CD0E5C" w:rsidRPr="00921478" w:rsidRDefault="00CD0E5C" w:rsidP="00997BC5">
                            <w:pPr>
                              <w:spacing w:line="276" w:lineRule="auto"/>
                              <w:rPr>
                                <w:rFonts w:asciiTheme="majorHAnsi" w:hAnsiTheme="majorHAnsi" w:cs="Arial"/>
                                <w:b/>
                                <w:bCs/>
                                <w:color w:val="0D0D0D" w:themeColor="text1" w:themeTint="F2"/>
                                <w:sz w:val="36"/>
                                <w:szCs w:val="22"/>
                              </w:rPr>
                            </w:pPr>
                            <w:r w:rsidRPr="00921478">
                              <w:rPr>
                                <w:rFonts w:asciiTheme="majorHAnsi" w:hAnsiTheme="majorHAnsi" w:cs="Arial"/>
                                <w:b/>
                                <w:bCs/>
                                <w:color w:val="0D0D0D" w:themeColor="text1" w:themeTint="F2"/>
                                <w:sz w:val="36"/>
                                <w:szCs w:val="22"/>
                              </w:rPr>
                              <w:t xml:space="preserve">INFORME </w:t>
                            </w:r>
                            <w:r w:rsidRPr="00921478">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159/18</w:t>
                            </w:r>
                          </w:p>
                          <w:p w14:paraId="783BDAAF" w14:textId="77777777" w:rsidR="00CD0E5C" w:rsidRPr="00851570" w:rsidRDefault="00CD0E5C" w:rsidP="00997BC5">
                            <w:pPr>
                              <w:spacing w:line="276" w:lineRule="auto"/>
                              <w:rPr>
                                <w:rFonts w:asciiTheme="majorHAnsi" w:hAnsiTheme="majorHAnsi" w:cs="Arial"/>
                                <w:b/>
                                <w:color w:val="0D0D0D" w:themeColor="text1" w:themeTint="F2"/>
                                <w:sz w:val="36"/>
                                <w:szCs w:val="22"/>
                              </w:rPr>
                            </w:pPr>
                            <w:r w:rsidRPr="00851570">
                              <w:rPr>
                                <w:rFonts w:asciiTheme="majorHAnsi" w:hAnsiTheme="majorHAnsi" w:cs="Arial"/>
                                <w:b/>
                                <w:color w:val="0D0D0D" w:themeColor="text1" w:themeTint="F2"/>
                                <w:sz w:val="36"/>
                                <w:szCs w:val="22"/>
                              </w:rPr>
                              <w:t>CASO 12.993</w:t>
                            </w:r>
                          </w:p>
                          <w:p w14:paraId="2B415201" w14:textId="77777777" w:rsidR="00CD0E5C" w:rsidRPr="0010736F" w:rsidRDefault="00CD0E5C"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03F3AF88" w14:textId="77777777" w:rsidR="00CD0E5C" w:rsidRPr="0010736F" w:rsidRDefault="00CD0E5C" w:rsidP="00997BC5">
                            <w:pPr>
                              <w:spacing w:line="276" w:lineRule="auto"/>
                              <w:rPr>
                                <w:rFonts w:asciiTheme="majorHAnsi" w:hAnsiTheme="majorHAnsi" w:cs="Arial"/>
                                <w:color w:val="0D0D0D" w:themeColor="text1" w:themeTint="F2"/>
                                <w:szCs w:val="22"/>
                                <w:lang w:val="es-ES_tradnl"/>
                              </w:rPr>
                            </w:pPr>
                            <w:bookmarkStart w:id="0" w:name="_ftnref1"/>
                          </w:p>
                          <w:p w14:paraId="36A1AC9A" w14:textId="77777777" w:rsidR="00CD0E5C" w:rsidRPr="0010736F" w:rsidRDefault="00CD0E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LUIS CUYA LAVY Y OTROS</w:t>
                            </w:r>
                          </w:p>
                          <w:bookmarkEnd w:id="0"/>
                          <w:p w14:paraId="736772A0" w14:textId="77777777" w:rsidR="00CD0E5C" w:rsidRPr="0010736F" w:rsidRDefault="00CD0E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14:paraId="62A5466E" w14:textId="77777777" w:rsidR="00CD0E5C" w:rsidRPr="00AE5488" w:rsidRDefault="00CD0E5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D0E5C" w:rsidRPr="00921478" w:rsidRDefault="00CD0E5C" w:rsidP="00997BC5">
                      <w:pPr>
                        <w:spacing w:line="276" w:lineRule="auto"/>
                        <w:rPr>
                          <w:rFonts w:asciiTheme="majorHAnsi" w:hAnsiTheme="majorHAnsi" w:cs="Arial"/>
                          <w:b/>
                          <w:bCs/>
                          <w:color w:val="0D0D0D" w:themeColor="text1" w:themeTint="F2"/>
                          <w:sz w:val="36"/>
                          <w:szCs w:val="22"/>
                        </w:rPr>
                      </w:pPr>
                      <w:r w:rsidRPr="00921478">
                        <w:rPr>
                          <w:rFonts w:asciiTheme="majorHAnsi" w:hAnsiTheme="majorHAnsi" w:cs="Arial"/>
                          <w:b/>
                          <w:bCs/>
                          <w:color w:val="0D0D0D" w:themeColor="text1" w:themeTint="F2"/>
                          <w:sz w:val="36"/>
                          <w:szCs w:val="22"/>
                        </w:rPr>
                        <w:t xml:space="preserve">INFORME </w:t>
                      </w:r>
                      <w:r w:rsidRPr="00921478">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159/18</w:t>
                      </w:r>
                    </w:p>
                    <w:p w:rsidR="00CD0E5C" w:rsidRPr="00851570" w:rsidRDefault="00CD0E5C" w:rsidP="00997BC5">
                      <w:pPr>
                        <w:spacing w:line="276" w:lineRule="auto"/>
                        <w:rPr>
                          <w:rFonts w:asciiTheme="majorHAnsi" w:hAnsiTheme="majorHAnsi" w:cs="Arial"/>
                          <w:b/>
                          <w:color w:val="0D0D0D" w:themeColor="text1" w:themeTint="F2"/>
                          <w:sz w:val="36"/>
                          <w:szCs w:val="22"/>
                        </w:rPr>
                      </w:pPr>
                      <w:r w:rsidRPr="00851570">
                        <w:rPr>
                          <w:rFonts w:asciiTheme="majorHAnsi" w:hAnsiTheme="majorHAnsi" w:cs="Arial"/>
                          <w:b/>
                          <w:color w:val="0D0D0D" w:themeColor="text1" w:themeTint="F2"/>
                          <w:sz w:val="36"/>
                          <w:szCs w:val="22"/>
                        </w:rPr>
                        <w:t>CASO 12.993</w:t>
                      </w:r>
                    </w:p>
                    <w:p w:rsidR="00CD0E5C" w:rsidRPr="0010736F" w:rsidRDefault="00CD0E5C"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CD0E5C" w:rsidRPr="0010736F" w:rsidRDefault="00CD0E5C" w:rsidP="00997BC5">
                      <w:pPr>
                        <w:spacing w:line="276" w:lineRule="auto"/>
                        <w:rPr>
                          <w:rFonts w:asciiTheme="majorHAnsi" w:hAnsiTheme="majorHAnsi" w:cs="Arial"/>
                          <w:color w:val="0D0D0D" w:themeColor="text1" w:themeTint="F2"/>
                          <w:szCs w:val="22"/>
                          <w:lang w:val="es-ES_tradnl"/>
                        </w:rPr>
                      </w:pPr>
                      <w:bookmarkStart w:id="1" w:name="_ftnref1"/>
                    </w:p>
                    <w:p w:rsidR="00CD0E5C" w:rsidRPr="0010736F" w:rsidRDefault="00CD0E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LUIS CUYA LAVY Y OTROS</w:t>
                      </w:r>
                    </w:p>
                    <w:bookmarkEnd w:id="1"/>
                    <w:p w:rsidR="00CD0E5C" w:rsidRPr="0010736F" w:rsidRDefault="00CD0E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PERU</w:t>
                      </w:r>
                    </w:p>
                    <w:p w:rsidR="00CD0E5C" w:rsidRPr="00AE5488" w:rsidRDefault="00CD0E5C"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28DB65F0" wp14:editId="03E268E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F4C75" w14:textId="77777777" w:rsidR="00CD0E5C" w:rsidRPr="003D6C81" w:rsidRDefault="00CD0E5C" w:rsidP="007A5817">
                            <w:pPr>
                              <w:spacing w:line="276" w:lineRule="auto"/>
                              <w:jc w:val="right"/>
                              <w:rPr>
                                <w:rFonts w:asciiTheme="minorHAnsi" w:hAnsiTheme="minorHAnsi"/>
                                <w:color w:val="FFFFFF" w:themeColor="background1"/>
                                <w:sz w:val="22"/>
                                <w:lang w:val="pt-BR"/>
                              </w:rPr>
                            </w:pPr>
                            <w:r w:rsidRPr="003D6C81">
                              <w:rPr>
                                <w:rFonts w:asciiTheme="minorHAnsi" w:hAnsiTheme="minorHAnsi"/>
                                <w:color w:val="FFFFFF" w:themeColor="background1"/>
                                <w:sz w:val="22"/>
                                <w:lang w:val="pt-BR"/>
                              </w:rPr>
                              <w:t>OEA/Ser.L/V/II.170</w:t>
                            </w:r>
                          </w:p>
                          <w:p w14:paraId="7714D07C" w14:textId="77777777" w:rsidR="00CD0E5C" w:rsidRPr="003D6C81" w:rsidRDefault="00CD0E5C" w:rsidP="007A5817">
                            <w:pPr>
                              <w:spacing w:line="276" w:lineRule="auto"/>
                              <w:jc w:val="right"/>
                              <w:rPr>
                                <w:rFonts w:asciiTheme="minorHAnsi" w:hAnsiTheme="minorHAnsi"/>
                                <w:color w:val="FFFFFF" w:themeColor="background1"/>
                                <w:sz w:val="22"/>
                                <w:lang w:val="pt-BR"/>
                              </w:rPr>
                            </w:pPr>
                            <w:r w:rsidRPr="003D6C81">
                              <w:rPr>
                                <w:rFonts w:asciiTheme="minorHAnsi" w:hAnsiTheme="minorHAnsi"/>
                                <w:color w:val="FFFFFF" w:themeColor="background1"/>
                                <w:sz w:val="22"/>
                                <w:lang w:val="pt-BR"/>
                              </w:rPr>
                              <w:t>Doc. 181</w:t>
                            </w:r>
                          </w:p>
                          <w:p w14:paraId="748F16C9" w14:textId="77777777" w:rsidR="00CD0E5C" w:rsidRPr="007C756A" w:rsidRDefault="00CD0E5C"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 diciembre 2018</w:t>
                            </w:r>
                          </w:p>
                          <w:p w14:paraId="306A1308" w14:textId="77777777" w:rsidR="00CD0E5C" w:rsidRPr="007C756A" w:rsidRDefault="00CD0E5C"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D0E5C" w:rsidRPr="003D6C81" w:rsidRDefault="00CD0E5C" w:rsidP="007A5817">
                      <w:pPr>
                        <w:spacing w:line="276" w:lineRule="auto"/>
                        <w:jc w:val="right"/>
                        <w:rPr>
                          <w:rFonts w:asciiTheme="minorHAnsi" w:hAnsiTheme="minorHAnsi"/>
                          <w:color w:val="FFFFFF" w:themeColor="background1"/>
                          <w:sz w:val="22"/>
                          <w:lang w:val="pt-BR"/>
                        </w:rPr>
                      </w:pPr>
                      <w:r w:rsidRPr="003D6C81">
                        <w:rPr>
                          <w:rFonts w:asciiTheme="minorHAnsi" w:hAnsiTheme="minorHAnsi"/>
                          <w:color w:val="FFFFFF" w:themeColor="background1"/>
                          <w:sz w:val="22"/>
                          <w:lang w:val="pt-BR"/>
                        </w:rPr>
                        <w:t>OEA/Ser.L/V/II.170</w:t>
                      </w:r>
                    </w:p>
                    <w:p w:rsidR="00CD0E5C" w:rsidRPr="003D6C81" w:rsidRDefault="00CD0E5C" w:rsidP="007A5817">
                      <w:pPr>
                        <w:spacing w:line="276" w:lineRule="auto"/>
                        <w:jc w:val="right"/>
                        <w:rPr>
                          <w:rFonts w:asciiTheme="minorHAnsi" w:hAnsiTheme="minorHAnsi"/>
                          <w:color w:val="FFFFFF" w:themeColor="background1"/>
                          <w:sz w:val="22"/>
                          <w:lang w:val="pt-BR"/>
                        </w:rPr>
                      </w:pPr>
                      <w:r w:rsidRPr="003D6C81">
                        <w:rPr>
                          <w:rFonts w:asciiTheme="minorHAnsi" w:hAnsiTheme="minorHAnsi"/>
                          <w:color w:val="FFFFFF" w:themeColor="background1"/>
                          <w:sz w:val="22"/>
                          <w:lang w:val="pt-BR"/>
                        </w:rPr>
                        <w:t>Doc. 181</w:t>
                      </w:r>
                    </w:p>
                    <w:p w:rsidR="00CD0E5C" w:rsidRPr="007C756A" w:rsidRDefault="00CD0E5C"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 diciembre 2018</w:t>
                      </w:r>
                    </w:p>
                    <w:p w:rsidR="00CD0E5C" w:rsidRPr="007C756A" w:rsidRDefault="00CD0E5C"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0965EA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5E5D3E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CFF73C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F0A575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AC667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870DB7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A09EB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F6236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5B829F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52EA78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9DD7B6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0D3C8F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D1FF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3A31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90F4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11B0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B93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A6AF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98FE8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6A02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FCFFD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EF21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D8F8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C978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1B6E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6B728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1678B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2106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0715C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1FE0238B" wp14:editId="74C03DF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A325F" w14:textId="77777777" w:rsidR="00CD0E5C" w:rsidRPr="0091083E" w:rsidRDefault="00CD0E5C" w:rsidP="0059191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w:t>
                            </w:r>
                            <w:r w:rsidRPr="00890650">
                              <w:rPr>
                                <w:rFonts w:asciiTheme="majorHAnsi" w:hAnsiTheme="majorHAnsi" w:cs="Univers"/>
                                <w:color w:val="0D0D0D" w:themeColor="text1" w:themeTint="F2"/>
                                <w:sz w:val="18"/>
                                <w:szCs w:val="20"/>
                                <w:lang w:val="es-ES_tradnl"/>
                              </w:rPr>
                              <w:t xml:space="preserve"> </w:t>
                            </w:r>
                            <w:r w:rsidRPr="0099328F">
                              <w:rPr>
                                <w:rFonts w:asciiTheme="majorHAnsi" w:hAnsiTheme="majorHAnsi" w:cs="Univers"/>
                                <w:color w:val="0D0D0D" w:themeColor="text1" w:themeTint="F2"/>
                                <w:sz w:val="18"/>
                                <w:szCs w:val="20"/>
                                <w:lang w:val="es-ES_tradnl"/>
                              </w:rPr>
                              <w:t>período ordinario</w:t>
                            </w:r>
                            <w:r>
                              <w:rPr>
                                <w:rFonts w:asciiTheme="majorHAnsi" w:hAnsiTheme="majorHAnsi" w:cs="Univers"/>
                                <w:color w:val="0D0D0D" w:themeColor="text1" w:themeTint="F2"/>
                                <w:sz w:val="18"/>
                                <w:szCs w:val="20"/>
                                <w:lang w:val="es-ES_tradnl"/>
                              </w:rPr>
                              <w:t xml:space="preserve">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D0E5C" w:rsidRPr="0091083E" w:rsidRDefault="00CD0E5C" w:rsidP="0059191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2143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w:t>
                      </w:r>
                      <w:r w:rsidRPr="00890650">
                        <w:rPr>
                          <w:rFonts w:asciiTheme="majorHAnsi" w:hAnsiTheme="majorHAnsi" w:cs="Univers"/>
                          <w:color w:val="0D0D0D" w:themeColor="text1" w:themeTint="F2"/>
                          <w:sz w:val="18"/>
                          <w:szCs w:val="20"/>
                          <w:lang w:val="es-ES_tradnl"/>
                        </w:rPr>
                        <w:t xml:space="preserve"> </w:t>
                      </w:r>
                      <w:r w:rsidRPr="0099328F">
                        <w:rPr>
                          <w:rFonts w:asciiTheme="majorHAnsi" w:hAnsiTheme="majorHAnsi" w:cs="Univers"/>
                          <w:color w:val="0D0D0D" w:themeColor="text1" w:themeTint="F2"/>
                          <w:sz w:val="18"/>
                          <w:szCs w:val="20"/>
                          <w:lang w:val="es-ES_tradnl"/>
                        </w:rPr>
                        <w:t>período ordinario</w:t>
                      </w:r>
                      <w:r>
                        <w:rPr>
                          <w:rFonts w:asciiTheme="majorHAnsi" w:hAnsiTheme="majorHAnsi" w:cs="Univers"/>
                          <w:color w:val="0D0D0D" w:themeColor="text1" w:themeTint="F2"/>
                          <w:sz w:val="18"/>
                          <w:szCs w:val="20"/>
                          <w:lang w:val="es-ES_tradnl"/>
                        </w:rPr>
                        <w:t xml:space="preserve"> de sesiones</w:t>
                      </w:r>
                    </w:p>
                  </w:txbxContent>
                </v:textbox>
              </v:shape>
            </w:pict>
          </mc:Fallback>
        </mc:AlternateContent>
      </w:r>
    </w:p>
    <w:p w14:paraId="53DBCA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E58B4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1E283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F8DF7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A238F0"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E1749D0" wp14:editId="2E7772E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7BEFE" w14:textId="77777777" w:rsidR="00CD0E5C" w:rsidRPr="007C756A" w:rsidRDefault="00CD0E5C" w:rsidP="00113F73">
                            <w:pPr>
                              <w:spacing w:line="276" w:lineRule="auto"/>
                              <w:rPr>
                                <w:rFonts w:asciiTheme="majorHAnsi" w:hAnsiTheme="majorHAnsi"/>
                                <w:color w:val="595959" w:themeColor="text1" w:themeTint="A6"/>
                                <w:sz w:val="18"/>
                                <w:szCs w:val="18"/>
                                <w:lang w:val="es-US"/>
                              </w:rPr>
                            </w:pPr>
                            <w:r w:rsidRPr="004D2971">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w:t>
                            </w:r>
                            <w:r w:rsidRPr="00CD0E5C">
                              <w:rPr>
                                <w:rFonts w:asciiTheme="majorHAnsi" w:hAnsiTheme="majorHAnsi"/>
                                <w:color w:val="595959" w:themeColor="text1" w:themeTint="A6"/>
                                <w:sz w:val="18"/>
                                <w:szCs w:val="18"/>
                                <w:lang w:val="pt-BR"/>
                              </w:rPr>
                              <w:t xml:space="preserve">Informe No. 159/18. </w:t>
                            </w:r>
                            <w:r>
                              <w:rPr>
                                <w:rFonts w:asciiTheme="majorHAnsi" w:hAnsiTheme="majorHAnsi"/>
                                <w:color w:val="595959" w:themeColor="text1" w:themeTint="A6"/>
                                <w:sz w:val="18"/>
                                <w:szCs w:val="18"/>
                                <w:lang w:val="es-ES_tradnl"/>
                              </w:rPr>
                              <w:t>Caso 12.993. Fondo. Jorge Luis Cuya Lavy otros.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7 de diciembre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D0E5C" w:rsidRPr="007C756A" w:rsidRDefault="00CD0E5C" w:rsidP="00113F73">
                      <w:pPr>
                        <w:spacing w:line="276" w:lineRule="auto"/>
                        <w:rPr>
                          <w:rFonts w:asciiTheme="majorHAnsi" w:hAnsiTheme="majorHAnsi"/>
                          <w:color w:val="595959" w:themeColor="text1" w:themeTint="A6"/>
                          <w:sz w:val="18"/>
                          <w:szCs w:val="18"/>
                          <w:lang w:val="es-US"/>
                        </w:rPr>
                      </w:pPr>
                      <w:r w:rsidRPr="004D2971">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w:t>
                      </w:r>
                      <w:r w:rsidRPr="00CD0E5C">
                        <w:rPr>
                          <w:rFonts w:asciiTheme="majorHAnsi" w:hAnsiTheme="majorHAnsi"/>
                          <w:color w:val="595959" w:themeColor="text1" w:themeTint="A6"/>
                          <w:sz w:val="18"/>
                          <w:szCs w:val="18"/>
                          <w:lang w:val="pt-BR"/>
                        </w:rPr>
                        <w:t xml:space="preserve">Informe No. 159/18. </w:t>
                      </w:r>
                      <w:r>
                        <w:rPr>
                          <w:rFonts w:asciiTheme="majorHAnsi" w:hAnsiTheme="majorHAnsi"/>
                          <w:color w:val="595959" w:themeColor="text1" w:themeTint="A6"/>
                          <w:sz w:val="18"/>
                          <w:szCs w:val="18"/>
                          <w:lang w:val="es-ES_tradnl"/>
                        </w:rPr>
                        <w:t xml:space="preserve">Caso 12.993. Fondo. Jorge Luis Cuya </w:t>
                      </w:r>
                      <w:proofErr w:type="spellStart"/>
                      <w:r>
                        <w:rPr>
                          <w:rFonts w:asciiTheme="majorHAnsi" w:hAnsiTheme="majorHAnsi"/>
                          <w:color w:val="595959" w:themeColor="text1" w:themeTint="A6"/>
                          <w:sz w:val="18"/>
                          <w:szCs w:val="18"/>
                          <w:lang w:val="es-ES_tradnl"/>
                        </w:rPr>
                        <w:t>Lavy</w:t>
                      </w:r>
                      <w:proofErr w:type="spellEnd"/>
                      <w:r>
                        <w:rPr>
                          <w:rFonts w:asciiTheme="majorHAnsi" w:hAnsiTheme="majorHAnsi"/>
                          <w:color w:val="595959" w:themeColor="text1" w:themeTint="A6"/>
                          <w:sz w:val="18"/>
                          <w:szCs w:val="18"/>
                          <w:lang w:val="es-ES_tradnl"/>
                        </w:rPr>
                        <w:t xml:space="preserve"> otros.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7 de diciembre de 2018.</w:t>
                      </w:r>
                    </w:p>
                  </w:txbxContent>
                </v:textbox>
              </v:shape>
            </w:pict>
          </mc:Fallback>
        </mc:AlternateContent>
      </w:r>
    </w:p>
    <w:p w14:paraId="556F458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CA1213"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377ECBB3" wp14:editId="1659611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40132" w14:textId="77777777" w:rsidR="00CD0E5C" w:rsidRPr="00D72DC6" w:rsidRDefault="00CD0E5C"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35CEC7AE" wp14:editId="58CF318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D0E5C" w:rsidRPr="00D72DC6" w:rsidRDefault="00CD0E5C"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7CD699C" wp14:editId="7E5968E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7DEE07F1" wp14:editId="2FB393E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8C565" w14:textId="77777777" w:rsidR="00CD0E5C" w:rsidRPr="004B7EB6" w:rsidRDefault="00CD0E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D0E5C" w:rsidRPr="004B7EB6" w:rsidRDefault="00CD0E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B241CD2"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3728DC9" w14:textId="77777777" w:rsidR="00722C9F" w:rsidRPr="00921478" w:rsidRDefault="0099328F"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159/18</w:t>
      </w:r>
    </w:p>
    <w:p w14:paraId="3CB64EA2" w14:textId="77777777" w:rsidR="00722C9F" w:rsidRPr="00921478" w:rsidRDefault="00851570" w:rsidP="00722C9F">
      <w:pPr>
        <w:tabs>
          <w:tab w:val="center" w:pos="5400"/>
        </w:tabs>
        <w:suppressAutoHyphens/>
        <w:spacing w:line="276" w:lineRule="auto"/>
        <w:jc w:val="center"/>
        <w:rPr>
          <w:rFonts w:asciiTheme="majorHAnsi" w:hAnsiTheme="majorHAnsi"/>
          <w:b/>
          <w:sz w:val="18"/>
          <w:szCs w:val="20"/>
        </w:rPr>
      </w:pPr>
      <w:r w:rsidRPr="00921478">
        <w:rPr>
          <w:rFonts w:asciiTheme="majorHAnsi" w:hAnsiTheme="majorHAnsi"/>
          <w:b/>
          <w:sz w:val="18"/>
          <w:szCs w:val="20"/>
        </w:rPr>
        <w:t>CASO 12.993</w:t>
      </w:r>
    </w:p>
    <w:p w14:paraId="38F364EF" w14:textId="77777777" w:rsidR="00722C9F" w:rsidRPr="00722C9F" w:rsidRDefault="00F805F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FONDO</w:t>
      </w:r>
    </w:p>
    <w:p w14:paraId="6C73F49F" w14:textId="77777777" w:rsidR="00722C9F" w:rsidRPr="00722C9F" w:rsidRDefault="00851570"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JORGE LUIS CUYA LAVY Y OTROS</w:t>
      </w:r>
    </w:p>
    <w:p w14:paraId="377C62C3" w14:textId="77777777" w:rsidR="0070697F" w:rsidRDefault="00640B58"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PERU</w:t>
      </w:r>
    </w:p>
    <w:p w14:paraId="39E59501" w14:textId="77777777" w:rsidR="00722C9F" w:rsidRDefault="0099328F"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DICIEMBRE DE 2018</w:t>
      </w:r>
    </w:p>
    <w:p w14:paraId="379209C0"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788CE20A" w14:textId="77777777" w:rsidR="000759E6" w:rsidRDefault="00722C9F" w:rsidP="00E2026F">
      <w:pPr>
        <w:tabs>
          <w:tab w:val="center" w:pos="5400"/>
        </w:tabs>
        <w:suppressAutoHyphens/>
        <w:spacing w:line="276" w:lineRule="auto"/>
        <w:jc w:val="center"/>
        <w:rPr>
          <w:noProof/>
        </w:rPr>
      </w:pPr>
      <w:r w:rsidRPr="00A37F0E">
        <w:rPr>
          <w:rFonts w:asciiTheme="majorHAnsi" w:hAnsiTheme="majorHAnsi"/>
          <w:b/>
          <w:sz w:val="20"/>
          <w:szCs w:val="20"/>
          <w:lang w:val="es-ES_tradnl"/>
        </w:rPr>
        <w:t>ÍNDICE</w:t>
      </w:r>
      <w:r w:rsidR="006125C3" w:rsidRPr="00A37F0E">
        <w:rPr>
          <w:rFonts w:asciiTheme="majorHAnsi" w:hAnsiTheme="majorHAnsi"/>
          <w:b/>
          <w:sz w:val="20"/>
          <w:szCs w:val="20"/>
          <w:lang w:val="es-ES_tradnl"/>
        </w:rPr>
        <w:fldChar w:fldCharType="begin"/>
      </w:r>
      <w:r w:rsidR="006125C3" w:rsidRPr="00A37F0E">
        <w:rPr>
          <w:rFonts w:asciiTheme="majorHAnsi" w:hAnsiTheme="majorHAnsi"/>
          <w:b/>
          <w:sz w:val="20"/>
          <w:szCs w:val="20"/>
          <w:lang w:val="es-ES_tradnl"/>
        </w:rPr>
        <w:instrText xml:space="preserve"> TOC \o "1-7" \h \z \u </w:instrText>
      </w:r>
      <w:r w:rsidR="006125C3" w:rsidRPr="00A37F0E">
        <w:rPr>
          <w:rFonts w:asciiTheme="majorHAnsi" w:hAnsiTheme="majorHAnsi"/>
          <w:b/>
          <w:sz w:val="20"/>
          <w:szCs w:val="20"/>
          <w:lang w:val="es-ES_tradnl"/>
        </w:rPr>
        <w:fldChar w:fldCharType="separate"/>
      </w:r>
    </w:p>
    <w:p w14:paraId="4FC88AEC" w14:textId="5C4DC414" w:rsidR="000759E6" w:rsidRPr="000759E6" w:rsidRDefault="00153BB0">
      <w:pPr>
        <w:pStyle w:val="TOC1"/>
        <w:rPr>
          <w:rFonts w:asciiTheme="majorHAnsi" w:eastAsiaTheme="minorEastAsia" w:hAnsiTheme="majorHAnsi" w:cstheme="minorBidi"/>
          <w:noProof/>
          <w:sz w:val="20"/>
          <w:szCs w:val="20"/>
          <w:bdr w:val="none" w:sz="0" w:space="0" w:color="auto"/>
          <w:lang w:val="en-US"/>
        </w:rPr>
      </w:pPr>
      <w:hyperlink w:anchor="_Toc527450115" w:history="1">
        <w:r w:rsidR="000759E6" w:rsidRPr="000759E6">
          <w:rPr>
            <w:rStyle w:val="Hyperlink"/>
            <w:rFonts w:asciiTheme="majorHAnsi" w:hAnsiTheme="majorHAnsi"/>
            <w:b/>
            <w:noProof/>
            <w:sz w:val="20"/>
            <w:szCs w:val="20"/>
            <w:lang w:val="es-ES_tradnl"/>
          </w:rPr>
          <w:t>I.</w:t>
        </w:r>
        <w:r w:rsidR="000759E6" w:rsidRPr="000759E6">
          <w:rPr>
            <w:rFonts w:asciiTheme="majorHAnsi" w:eastAsiaTheme="minorEastAsia" w:hAnsiTheme="majorHAnsi" w:cstheme="minorBidi"/>
            <w:b/>
            <w:noProof/>
            <w:sz w:val="20"/>
            <w:szCs w:val="20"/>
            <w:bdr w:val="none" w:sz="0" w:space="0" w:color="auto"/>
            <w:lang w:val="en-US"/>
          </w:rPr>
          <w:tab/>
        </w:r>
        <w:r w:rsidR="000759E6" w:rsidRPr="000759E6">
          <w:rPr>
            <w:rStyle w:val="Hyperlink"/>
            <w:rFonts w:asciiTheme="majorHAnsi" w:hAnsiTheme="majorHAnsi"/>
            <w:b/>
            <w:noProof/>
            <w:sz w:val="20"/>
            <w:szCs w:val="20"/>
            <w:lang w:val="es-ES_tradnl"/>
          </w:rPr>
          <w:t>RESUMEN</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_Toc527450115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w:t>
        </w:r>
        <w:r w:rsidR="000759E6" w:rsidRPr="000759E6">
          <w:rPr>
            <w:rFonts w:asciiTheme="majorHAnsi" w:hAnsiTheme="majorHAnsi"/>
            <w:noProof/>
            <w:webHidden/>
            <w:sz w:val="20"/>
            <w:szCs w:val="20"/>
          </w:rPr>
          <w:fldChar w:fldCharType="end"/>
        </w:r>
      </w:hyperlink>
    </w:p>
    <w:p w14:paraId="5B867226" w14:textId="0C3608AD" w:rsidR="000759E6" w:rsidRPr="000759E6" w:rsidRDefault="00153BB0">
      <w:pPr>
        <w:pStyle w:val="TOC1"/>
        <w:rPr>
          <w:rFonts w:asciiTheme="majorHAnsi" w:eastAsiaTheme="minorEastAsia" w:hAnsiTheme="majorHAnsi" w:cstheme="minorBidi"/>
          <w:noProof/>
          <w:sz w:val="20"/>
          <w:szCs w:val="20"/>
          <w:bdr w:val="none" w:sz="0" w:space="0" w:color="auto"/>
          <w:lang w:val="en-US"/>
        </w:rPr>
      </w:pPr>
      <w:hyperlink w:anchor="_Toc527450116" w:history="1">
        <w:r w:rsidR="000759E6" w:rsidRPr="000759E6">
          <w:rPr>
            <w:rStyle w:val="Hyperlink"/>
            <w:rFonts w:asciiTheme="majorHAnsi" w:hAnsiTheme="majorHAnsi"/>
            <w:b/>
            <w:noProof/>
            <w:sz w:val="20"/>
            <w:szCs w:val="20"/>
            <w:lang w:val="es-ES_tradnl"/>
          </w:rPr>
          <w:t>II.</w:t>
        </w:r>
        <w:r w:rsidR="000759E6" w:rsidRPr="000759E6">
          <w:rPr>
            <w:rFonts w:asciiTheme="majorHAnsi" w:eastAsiaTheme="minorEastAsia" w:hAnsiTheme="majorHAnsi" w:cstheme="minorBidi"/>
            <w:b/>
            <w:noProof/>
            <w:sz w:val="20"/>
            <w:szCs w:val="20"/>
            <w:bdr w:val="none" w:sz="0" w:space="0" w:color="auto"/>
            <w:lang w:val="en-US"/>
          </w:rPr>
          <w:tab/>
        </w:r>
        <w:r w:rsidR="000759E6" w:rsidRPr="000759E6">
          <w:rPr>
            <w:rStyle w:val="Hyperlink"/>
            <w:rFonts w:asciiTheme="majorHAnsi" w:hAnsiTheme="majorHAnsi"/>
            <w:b/>
            <w:noProof/>
            <w:sz w:val="20"/>
            <w:szCs w:val="20"/>
            <w:lang w:val="es-ES_tradnl"/>
          </w:rPr>
          <w:t>ALEGATOS DE LAS PARTES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_Toc527450116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w:t>
        </w:r>
        <w:r w:rsidR="000759E6" w:rsidRPr="000759E6">
          <w:rPr>
            <w:rFonts w:asciiTheme="majorHAnsi" w:hAnsiTheme="majorHAnsi"/>
            <w:noProof/>
            <w:webHidden/>
            <w:sz w:val="20"/>
            <w:szCs w:val="20"/>
          </w:rPr>
          <w:fldChar w:fldCharType="end"/>
        </w:r>
      </w:hyperlink>
    </w:p>
    <w:p w14:paraId="4FD603A8" w14:textId="26B42423" w:rsidR="000759E6" w:rsidRPr="000759E6" w:rsidRDefault="00153BB0">
      <w:pPr>
        <w:pStyle w:val="TOC2"/>
        <w:rPr>
          <w:rFonts w:asciiTheme="majorHAnsi" w:eastAsiaTheme="minorEastAsia" w:hAnsiTheme="majorHAnsi" w:cstheme="minorBidi"/>
          <w:noProof/>
          <w:sz w:val="20"/>
          <w:szCs w:val="20"/>
          <w:bdr w:val="none" w:sz="0" w:space="0" w:color="auto"/>
          <w:lang w:val="en-US"/>
        </w:rPr>
      </w:pPr>
      <w:hyperlink w:anchor="_Toc527450117" w:history="1">
        <w:r w:rsidR="000759E6" w:rsidRPr="000759E6">
          <w:rPr>
            <w:rStyle w:val="Hyperlink"/>
            <w:rFonts w:asciiTheme="majorHAnsi" w:hAnsiTheme="majorHAnsi"/>
            <w:noProof/>
            <w:sz w:val="20"/>
            <w:szCs w:val="20"/>
            <w:lang w:val="es-ES_tradnl"/>
          </w:rPr>
          <w:t>A.</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Parte peticionaria</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_Toc527450117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w:t>
        </w:r>
        <w:r w:rsidR="000759E6" w:rsidRPr="000759E6">
          <w:rPr>
            <w:rFonts w:asciiTheme="majorHAnsi" w:hAnsiTheme="majorHAnsi"/>
            <w:noProof/>
            <w:webHidden/>
            <w:sz w:val="20"/>
            <w:szCs w:val="20"/>
          </w:rPr>
          <w:fldChar w:fldCharType="end"/>
        </w:r>
      </w:hyperlink>
    </w:p>
    <w:p w14:paraId="6057146D" w14:textId="5A0A8624" w:rsidR="000759E6" w:rsidRPr="000759E6" w:rsidRDefault="00153BB0">
      <w:pPr>
        <w:pStyle w:val="TOC2"/>
        <w:rPr>
          <w:rFonts w:asciiTheme="majorHAnsi" w:eastAsiaTheme="minorEastAsia" w:hAnsiTheme="majorHAnsi" w:cstheme="minorBidi"/>
          <w:noProof/>
          <w:sz w:val="20"/>
          <w:szCs w:val="20"/>
          <w:bdr w:val="none" w:sz="0" w:space="0" w:color="auto"/>
          <w:lang w:val="en-US"/>
        </w:rPr>
      </w:pPr>
      <w:hyperlink w:anchor="_Toc527450118" w:history="1">
        <w:r w:rsidR="000759E6" w:rsidRPr="000759E6">
          <w:rPr>
            <w:rStyle w:val="Hyperlink"/>
            <w:rFonts w:asciiTheme="majorHAnsi" w:hAnsiTheme="majorHAnsi"/>
            <w:noProof/>
            <w:sz w:val="20"/>
            <w:szCs w:val="20"/>
            <w:lang w:val="es-ES_tradnl"/>
          </w:rPr>
          <w:t>B.</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Estado</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_Toc527450118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3</w:t>
        </w:r>
        <w:r w:rsidR="000759E6" w:rsidRPr="000759E6">
          <w:rPr>
            <w:rFonts w:asciiTheme="majorHAnsi" w:hAnsiTheme="majorHAnsi"/>
            <w:noProof/>
            <w:webHidden/>
            <w:sz w:val="20"/>
            <w:szCs w:val="20"/>
          </w:rPr>
          <w:fldChar w:fldCharType="end"/>
        </w:r>
      </w:hyperlink>
    </w:p>
    <w:p w14:paraId="07B795FB" w14:textId="1A9F9DBB" w:rsidR="000759E6" w:rsidRPr="000759E6" w:rsidRDefault="00153BB0">
      <w:pPr>
        <w:pStyle w:val="TOC1"/>
        <w:rPr>
          <w:rFonts w:asciiTheme="majorHAnsi" w:eastAsiaTheme="minorEastAsia" w:hAnsiTheme="majorHAnsi" w:cstheme="minorBidi"/>
          <w:noProof/>
          <w:sz w:val="20"/>
          <w:szCs w:val="20"/>
          <w:bdr w:val="none" w:sz="0" w:space="0" w:color="auto"/>
          <w:lang w:val="en-US"/>
        </w:rPr>
      </w:pPr>
      <w:hyperlink w:anchor="_Toc527450119" w:history="1">
        <w:r w:rsidR="000759E6" w:rsidRPr="000759E6">
          <w:rPr>
            <w:rStyle w:val="Hyperlink"/>
            <w:rFonts w:asciiTheme="majorHAnsi" w:hAnsiTheme="majorHAnsi"/>
            <w:b/>
            <w:noProof/>
            <w:sz w:val="20"/>
            <w:szCs w:val="20"/>
            <w:lang w:val="es-ES_tradnl"/>
          </w:rPr>
          <w:t>III.</w:t>
        </w:r>
        <w:r w:rsidR="000759E6" w:rsidRPr="000759E6">
          <w:rPr>
            <w:rFonts w:asciiTheme="majorHAnsi" w:eastAsiaTheme="minorEastAsia" w:hAnsiTheme="majorHAnsi" w:cstheme="minorBidi"/>
            <w:b/>
            <w:noProof/>
            <w:sz w:val="20"/>
            <w:szCs w:val="20"/>
            <w:bdr w:val="none" w:sz="0" w:space="0" w:color="auto"/>
            <w:lang w:val="en-US"/>
          </w:rPr>
          <w:tab/>
        </w:r>
        <w:r w:rsidR="000759E6" w:rsidRPr="000759E6">
          <w:rPr>
            <w:rStyle w:val="Hyperlink"/>
            <w:rFonts w:asciiTheme="majorHAnsi" w:hAnsiTheme="majorHAnsi"/>
            <w:b/>
            <w:noProof/>
            <w:sz w:val="20"/>
            <w:szCs w:val="20"/>
            <w:lang w:val="es-ES_tradnl"/>
          </w:rPr>
          <w:t>DETERMINACIONES DE HECHO</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_Toc527450119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4</w:t>
        </w:r>
        <w:r w:rsidR="000759E6" w:rsidRPr="000759E6">
          <w:rPr>
            <w:rFonts w:asciiTheme="majorHAnsi" w:hAnsiTheme="majorHAnsi"/>
            <w:noProof/>
            <w:webHidden/>
            <w:sz w:val="20"/>
            <w:szCs w:val="20"/>
          </w:rPr>
          <w:fldChar w:fldCharType="end"/>
        </w:r>
      </w:hyperlink>
    </w:p>
    <w:p w14:paraId="290185BE" w14:textId="6781B1D4" w:rsidR="000759E6" w:rsidRPr="000759E6" w:rsidRDefault="00153BB0">
      <w:pPr>
        <w:pStyle w:val="TOC2"/>
        <w:rPr>
          <w:rFonts w:asciiTheme="majorHAnsi" w:eastAsiaTheme="minorEastAsia" w:hAnsiTheme="majorHAnsi" w:cstheme="minorBidi"/>
          <w:noProof/>
          <w:sz w:val="20"/>
          <w:szCs w:val="20"/>
          <w:bdr w:val="none" w:sz="0" w:space="0" w:color="auto"/>
          <w:lang w:val="en-US"/>
        </w:rPr>
      </w:pPr>
      <w:hyperlink w:anchor="_Toc527450120" w:history="1">
        <w:r w:rsidR="000759E6" w:rsidRPr="000759E6">
          <w:rPr>
            <w:rStyle w:val="Hyperlink"/>
            <w:rFonts w:asciiTheme="majorHAnsi" w:hAnsiTheme="majorHAnsi"/>
            <w:noProof/>
            <w:sz w:val="20"/>
            <w:szCs w:val="20"/>
            <w:lang w:val="es-ES_tradnl"/>
          </w:rPr>
          <w:t>A.</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Marco normativo relevante</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_Toc527450120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4</w:t>
        </w:r>
        <w:r w:rsidR="000759E6" w:rsidRPr="000759E6">
          <w:rPr>
            <w:rFonts w:asciiTheme="majorHAnsi" w:hAnsiTheme="majorHAnsi"/>
            <w:noProof/>
            <w:webHidden/>
            <w:sz w:val="20"/>
            <w:szCs w:val="20"/>
          </w:rPr>
          <w:fldChar w:fldCharType="end"/>
        </w:r>
      </w:hyperlink>
    </w:p>
    <w:p w14:paraId="3A748F68" w14:textId="3185521F" w:rsidR="000759E6" w:rsidRPr="000759E6" w:rsidRDefault="00153BB0">
      <w:pPr>
        <w:pStyle w:val="TOC2"/>
        <w:rPr>
          <w:rFonts w:asciiTheme="majorHAnsi" w:eastAsiaTheme="minorEastAsia" w:hAnsiTheme="majorHAnsi" w:cstheme="minorBidi"/>
          <w:noProof/>
          <w:sz w:val="20"/>
          <w:szCs w:val="20"/>
          <w:bdr w:val="none" w:sz="0" w:space="0" w:color="auto"/>
          <w:lang w:val="en-US"/>
        </w:rPr>
      </w:pPr>
      <w:hyperlink w:anchor="_Toc527450121" w:history="1">
        <w:r w:rsidR="000759E6" w:rsidRPr="000759E6">
          <w:rPr>
            <w:rStyle w:val="Hyperlink"/>
            <w:rFonts w:asciiTheme="majorHAnsi" w:hAnsiTheme="majorHAnsi"/>
            <w:noProof/>
            <w:sz w:val="20"/>
            <w:szCs w:val="20"/>
            <w:lang w:val="es-ES_tradnl"/>
          </w:rPr>
          <w:t>B.</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Sobre las presuntas víctimas y sus procesos de evaluación y ratificación</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_Toc527450121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6</w:t>
        </w:r>
        <w:r w:rsidR="000759E6" w:rsidRPr="000759E6">
          <w:rPr>
            <w:rFonts w:asciiTheme="majorHAnsi" w:hAnsiTheme="majorHAnsi"/>
            <w:noProof/>
            <w:webHidden/>
            <w:sz w:val="20"/>
            <w:szCs w:val="20"/>
          </w:rPr>
          <w:fldChar w:fldCharType="end"/>
        </w:r>
      </w:hyperlink>
    </w:p>
    <w:p w14:paraId="24AE6A44" w14:textId="06AB3A0D"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22" w:history="1">
        <w:r w:rsidR="000759E6" w:rsidRPr="000759E6">
          <w:rPr>
            <w:rStyle w:val="Hyperlink"/>
            <w:rFonts w:asciiTheme="majorHAnsi" w:hAnsiTheme="majorHAnsi"/>
            <w:noProof/>
            <w:sz w:val="20"/>
            <w:szCs w:val="20"/>
            <w:lang w:val="es-ES"/>
          </w:rPr>
          <w:t>1.</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
          </w:rPr>
          <w:t>Jorge Luis Cuya Lavy</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_Toc527450122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6</w:t>
        </w:r>
        <w:r w:rsidR="000759E6" w:rsidRPr="000759E6">
          <w:rPr>
            <w:rFonts w:asciiTheme="majorHAnsi" w:hAnsiTheme="majorHAnsi"/>
            <w:noProof/>
            <w:webHidden/>
            <w:sz w:val="20"/>
            <w:szCs w:val="20"/>
          </w:rPr>
          <w:fldChar w:fldCharType="end"/>
        </w:r>
      </w:hyperlink>
    </w:p>
    <w:p w14:paraId="522F723E" w14:textId="09D9FC5B"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23" w:history="1">
        <w:r w:rsidR="000759E6" w:rsidRPr="000759E6">
          <w:rPr>
            <w:rStyle w:val="Hyperlink"/>
            <w:rFonts w:asciiTheme="majorHAnsi" w:hAnsiTheme="majorHAnsi"/>
            <w:noProof/>
            <w:sz w:val="20"/>
            <w:szCs w:val="20"/>
            <w:lang w:val="es-ES"/>
          </w:rPr>
          <w:t>2.</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
          </w:rPr>
          <w:t>Walter Antonio Valenzuela Cerna</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_Toc527450123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8</w:t>
        </w:r>
        <w:r w:rsidR="000759E6" w:rsidRPr="000759E6">
          <w:rPr>
            <w:rFonts w:asciiTheme="majorHAnsi" w:hAnsiTheme="majorHAnsi"/>
            <w:noProof/>
            <w:webHidden/>
            <w:sz w:val="20"/>
            <w:szCs w:val="20"/>
          </w:rPr>
          <w:fldChar w:fldCharType="end"/>
        </w:r>
      </w:hyperlink>
    </w:p>
    <w:p w14:paraId="013E8F91" w14:textId="0C9AE895"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24" w:history="1">
        <w:r w:rsidR="000759E6" w:rsidRPr="000759E6">
          <w:rPr>
            <w:rStyle w:val="Hyperlink"/>
            <w:rFonts w:asciiTheme="majorHAnsi" w:hAnsiTheme="majorHAnsi"/>
            <w:noProof/>
            <w:sz w:val="20"/>
            <w:szCs w:val="20"/>
            <w:lang w:val="pt-BR"/>
          </w:rPr>
          <w:t>3.</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pt-BR"/>
          </w:rPr>
          <w:t>Jean Aubert Díaz Alvarado</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_Toc527450124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9</w:t>
        </w:r>
        <w:r w:rsidR="000759E6" w:rsidRPr="000759E6">
          <w:rPr>
            <w:rFonts w:asciiTheme="majorHAnsi" w:hAnsiTheme="majorHAnsi"/>
            <w:noProof/>
            <w:webHidden/>
            <w:sz w:val="20"/>
            <w:szCs w:val="20"/>
          </w:rPr>
          <w:fldChar w:fldCharType="end"/>
        </w:r>
      </w:hyperlink>
    </w:p>
    <w:p w14:paraId="58165563" w14:textId="049C0150"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25" w:history="1">
        <w:r w:rsidR="000759E6" w:rsidRPr="000759E6">
          <w:rPr>
            <w:rStyle w:val="Hyperlink"/>
            <w:rFonts w:asciiTheme="majorHAnsi" w:hAnsiTheme="majorHAnsi"/>
            <w:noProof/>
            <w:sz w:val="20"/>
            <w:szCs w:val="20"/>
            <w:lang w:val="es-ES"/>
          </w:rPr>
          <w:t>4.</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
          </w:rPr>
          <w:t>Marta Silvana Rodríguez Ricse</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_Toc527450125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10</w:t>
        </w:r>
        <w:r w:rsidR="000759E6" w:rsidRPr="000759E6">
          <w:rPr>
            <w:rFonts w:asciiTheme="majorHAnsi" w:hAnsiTheme="majorHAnsi"/>
            <w:noProof/>
            <w:webHidden/>
            <w:sz w:val="20"/>
            <w:szCs w:val="20"/>
          </w:rPr>
          <w:fldChar w:fldCharType="end"/>
        </w:r>
      </w:hyperlink>
    </w:p>
    <w:p w14:paraId="6BD69B25" w14:textId="27003DFB" w:rsidR="000759E6" w:rsidRPr="000759E6" w:rsidRDefault="00153BB0">
      <w:pPr>
        <w:pStyle w:val="TOC1"/>
        <w:rPr>
          <w:rFonts w:asciiTheme="majorHAnsi" w:eastAsiaTheme="minorEastAsia" w:hAnsiTheme="majorHAnsi" w:cstheme="minorBidi"/>
          <w:noProof/>
          <w:sz w:val="20"/>
          <w:szCs w:val="20"/>
          <w:bdr w:val="none" w:sz="0" w:space="0" w:color="auto"/>
          <w:lang w:val="en-US"/>
        </w:rPr>
      </w:pPr>
      <w:hyperlink w:anchor="_Toc527450126" w:history="1">
        <w:r w:rsidR="000759E6" w:rsidRPr="000759E6">
          <w:rPr>
            <w:rStyle w:val="Hyperlink"/>
            <w:rFonts w:asciiTheme="majorHAnsi" w:hAnsiTheme="majorHAnsi"/>
            <w:b/>
            <w:noProof/>
            <w:sz w:val="20"/>
            <w:szCs w:val="20"/>
            <w:lang w:val="es-ES_tradnl"/>
          </w:rPr>
          <w:t>IV.</w:t>
        </w:r>
        <w:r w:rsidR="000759E6" w:rsidRPr="000759E6">
          <w:rPr>
            <w:rFonts w:asciiTheme="majorHAnsi" w:eastAsiaTheme="minorEastAsia" w:hAnsiTheme="majorHAnsi" w:cstheme="minorBidi"/>
            <w:b/>
            <w:noProof/>
            <w:sz w:val="20"/>
            <w:szCs w:val="20"/>
            <w:bdr w:val="none" w:sz="0" w:space="0" w:color="auto"/>
            <w:lang w:val="en-US"/>
          </w:rPr>
          <w:tab/>
        </w:r>
        <w:r w:rsidR="000759E6" w:rsidRPr="000759E6">
          <w:rPr>
            <w:rStyle w:val="Hyperlink"/>
            <w:rFonts w:asciiTheme="majorHAnsi" w:hAnsiTheme="majorHAnsi"/>
            <w:b/>
            <w:noProof/>
            <w:sz w:val="20"/>
            <w:szCs w:val="20"/>
            <w:lang w:val="es-ES_tradnl"/>
          </w:rPr>
          <w:t>ANÁLISIS DE DERECHO</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_Toc527450126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11</w:t>
        </w:r>
        <w:r w:rsidR="000759E6" w:rsidRPr="000759E6">
          <w:rPr>
            <w:rFonts w:asciiTheme="majorHAnsi" w:hAnsiTheme="majorHAnsi"/>
            <w:noProof/>
            <w:webHidden/>
            <w:sz w:val="20"/>
            <w:szCs w:val="20"/>
          </w:rPr>
          <w:fldChar w:fldCharType="end"/>
        </w:r>
      </w:hyperlink>
    </w:p>
    <w:p w14:paraId="230ABA20" w14:textId="452F86ED" w:rsidR="000759E6" w:rsidRPr="000759E6" w:rsidRDefault="00153BB0">
      <w:pPr>
        <w:pStyle w:val="TOC2"/>
        <w:rPr>
          <w:rFonts w:asciiTheme="majorHAnsi" w:eastAsiaTheme="minorEastAsia" w:hAnsiTheme="majorHAnsi" w:cstheme="minorBidi"/>
          <w:noProof/>
          <w:sz w:val="20"/>
          <w:szCs w:val="20"/>
          <w:bdr w:val="none" w:sz="0" w:space="0" w:color="auto"/>
          <w:lang w:val="en-US"/>
        </w:rPr>
      </w:pPr>
      <w:hyperlink w:anchor="_Toc527450127" w:history="1">
        <w:r w:rsidR="000759E6" w:rsidRPr="000759E6">
          <w:rPr>
            <w:rStyle w:val="Hyperlink"/>
            <w:rFonts w:asciiTheme="majorHAnsi" w:hAnsiTheme="majorHAnsi"/>
            <w:noProof/>
            <w:sz w:val="20"/>
            <w:szCs w:val="20"/>
            <w:lang w:val="es-ES_tradnl"/>
          </w:rPr>
          <w:t>A.</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Consideraciones generales sobre las garantías aplicables en procesos sancionatorios y de determinación de derechos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_Toc527450127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11</w:t>
        </w:r>
        <w:r w:rsidR="000759E6" w:rsidRPr="000759E6">
          <w:rPr>
            <w:rFonts w:asciiTheme="majorHAnsi" w:hAnsiTheme="majorHAnsi"/>
            <w:noProof/>
            <w:webHidden/>
            <w:sz w:val="20"/>
            <w:szCs w:val="20"/>
          </w:rPr>
          <w:fldChar w:fldCharType="end"/>
        </w:r>
      </w:hyperlink>
    </w:p>
    <w:p w14:paraId="6D9335D0" w14:textId="0C5301EA"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28" w:history="1">
        <w:r w:rsidR="000759E6" w:rsidRPr="000759E6">
          <w:rPr>
            <w:rStyle w:val="Hyperlink"/>
            <w:rFonts w:asciiTheme="majorHAnsi" w:hAnsiTheme="majorHAnsi"/>
            <w:noProof/>
            <w:sz w:val="20"/>
            <w:szCs w:val="20"/>
            <w:lang w:val="es-UY"/>
          </w:rPr>
          <w:t>1.</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Consideraciones generales sobre las garantías aplicables a operadores y operadoras judiciales incluyendo fiscales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_Toc527450128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12</w:t>
        </w:r>
        <w:r w:rsidR="000759E6" w:rsidRPr="000759E6">
          <w:rPr>
            <w:rFonts w:asciiTheme="majorHAnsi" w:hAnsiTheme="majorHAnsi"/>
            <w:noProof/>
            <w:webHidden/>
            <w:sz w:val="20"/>
            <w:szCs w:val="20"/>
          </w:rPr>
          <w:fldChar w:fldCharType="end"/>
        </w:r>
      </w:hyperlink>
    </w:p>
    <w:p w14:paraId="438464BF" w14:textId="46BF609D"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29" w:history="1">
        <w:r w:rsidR="000759E6" w:rsidRPr="000759E6">
          <w:rPr>
            <w:rStyle w:val="Hyperlink"/>
            <w:rFonts w:asciiTheme="majorHAnsi" w:hAnsiTheme="majorHAnsi"/>
            <w:noProof/>
            <w:sz w:val="20"/>
            <w:szCs w:val="20"/>
            <w:lang w:val="es-ES_tradnl"/>
          </w:rPr>
          <w:t>1.1</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El principio de independencia judicial y la remoción de operadores y operadoras judiciales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_Toc527450129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12</w:t>
        </w:r>
        <w:r w:rsidR="000759E6" w:rsidRPr="000759E6">
          <w:rPr>
            <w:rFonts w:asciiTheme="majorHAnsi" w:hAnsiTheme="majorHAnsi"/>
            <w:noProof/>
            <w:webHidden/>
            <w:sz w:val="20"/>
            <w:szCs w:val="20"/>
          </w:rPr>
          <w:fldChar w:fldCharType="end"/>
        </w:r>
      </w:hyperlink>
    </w:p>
    <w:p w14:paraId="4919DAB6" w14:textId="562347E3"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30" w:history="1">
        <w:r w:rsidR="000759E6" w:rsidRPr="000759E6">
          <w:rPr>
            <w:rStyle w:val="Hyperlink"/>
            <w:rFonts w:asciiTheme="majorHAnsi" w:hAnsiTheme="majorHAnsi"/>
            <w:noProof/>
            <w:sz w:val="20"/>
            <w:szCs w:val="20"/>
            <w:lang w:val="es-ES_tradnl"/>
          </w:rPr>
          <w:t>1.2</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Consideraciones generales sobre la estabilidad reforzada de fiscales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_Toc527450130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13</w:t>
        </w:r>
        <w:r w:rsidR="000759E6" w:rsidRPr="000759E6">
          <w:rPr>
            <w:rFonts w:asciiTheme="majorHAnsi" w:hAnsiTheme="majorHAnsi"/>
            <w:noProof/>
            <w:webHidden/>
            <w:sz w:val="20"/>
            <w:szCs w:val="20"/>
          </w:rPr>
          <w:fldChar w:fldCharType="end"/>
        </w:r>
      </w:hyperlink>
    </w:p>
    <w:p w14:paraId="7FE86476" w14:textId="18A94A8F"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31" w:history="1">
        <w:r w:rsidR="000759E6" w:rsidRPr="000759E6">
          <w:rPr>
            <w:rStyle w:val="Hyperlink"/>
            <w:rFonts w:asciiTheme="majorHAnsi" w:hAnsiTheme="majorHAnsi"/>
            <w:noProof/>
            <w:sz w:val="20"/>
            <w:szCs w:val="20"/>
            <w:lang w:val="es-ES_tradnl"/>
          </w:rPr>
          <w:t>1.3</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Los procesos de ratificación de jueces y fiscales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_Toc527450131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14</w:t>
        </w:r>
        <w:r w:rsidR="000759E6" w:rsidRPr="000759E6">
          <w:rPr>
            <w:rFonts w:asciiTheme="majorHAnsi" w:hAnsiTheme="majorHAnsi"/>
            <w:noProof/>
            <w:webHidden/>
            <w:sz w:val="20"/>
            <w:szCs w:val="20"/>
          </w:rPr>
          <w:fldChar w:fldCharType="end"/>
        </w:r>
      </w:hyperlink>
    </w:p>
    <w:p w14:paraId="1162F5BC" w14:textId="180166BC" w:rsidR="000759E6" w:rsidRPr="000759E6" w:rsidRDefault="00153BB0">
      <w:pPr>
        <w:pStyle w:val="TOC2"/>
        <w:rPr>
          <w:rFonts w:asciiTheme="majorHAnsi" w:eastAsiaTheme="minorEastAsia" w:hAnsiTheme="majorHAnsi" w:cstheme="minorBidi"/>
          <w:noProof/>
          <w:sz w:val="20"/>
          <w:szCs w:val="20"/>
          <w:bdr w:val="none" w:sz="0" w:space="0" w:color="auto"/>
          <w:lang w:val="en-US"/>
        </w:rPr>
      </w:pPr>
      <w:hyperlink w:anchor="_Toc527450132" w:history="1">
        <w:r w:rsidR="000759E6" w:rsidRPr="000759E6">
          <w:rPr>
            <w:rStyle w:val="Hyperlink"/>
            <w:rFonts w:asciiTheme="majorHAnsi" w:hAnsiTheme="majorHAnsi"/>
            <w:noProof/>
            <w:sz w:val="20"/>
            <w:szCs w:val="20"/>
            <w:lang w:val="es-ES_tradnl"/>
          </w:rPr>
          <w:t>B.</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El derecho a las garantías judiciales, el principio de legalidad y la protección judicial</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_Toc527450132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15</w:t>
        </w:r>
        <w:r w:rsidR="000759E6" w:rsidRPr="000759E6">
          <w:rPr>
            <w:rFonts w:asciiTheme="majorHAnsi" w:hAnsiTheme="majorHAnsi"/>
            <w:noProof/>
            <w:webHidden/>
            <w:sz w:val="20"/>
            <w:szCs w:val="20"/>
          </w:rPr>
          <w:fldChar w:fldCharType="end"/>
        </w:r>
      </w:hyperlink>
    </w:p>
    <w:p w14:paraId="1C79F24F" w14:textId="080879A3"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33" w:history="1">
        <w:r w:rsidR="000759E6" w:rsidRPr="000759E6">
          <w:rPr>
            <w:rStyle w:val="Hyperlink"/>
            <w:rFonts w:asciiTheme="majorHAnsi" w:hAnsiTheme="majorHAnsi"/>
            <w:noProof/>
            <w:sz w:val="20"/>
            <w:szCs w:val="20"/>
            <w:lang w:val="es-ES_tradnl"/>
          </w:rPr>
          <w:t>1.</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Derecho a conocer previa y detalladamente la acusación formulada y de tener el tiempo y los medios adecuados para la defensa</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_Toc527450133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15</w:t>
        </w:r>
        <w:r w:rsidR="000759E6" w:rsidRPr="000759E6">
          <w:rPr>
            <w:rFonts w:asciiTheme="majorHAnsi" w:hAnsiTheme="majorHAnsi"/>
            <w:noProof/>
            <w:webHidden/>
            <w:sz w:val="20"/>
            <w:szCs w:val="20"/>
          </w:rPr>
          <w:fldChar w:fldCharType="end"/>
        </w:r>
      </w:hyperlink>
    </w:p>
    <w:p w14:paraId="0D517F58" w14:textId="50F2BDE3"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34" w:history="1">
        <w:r w:rsidR="000759E6" w:rsidRPr="000759E6">
          <w:rPr>
            <w:rStyle w:val="Hyperlink"/>
            <w:rFonts w:asciiTheme="majorHAnsi" w:hAnsiTheme="majorHAnsi"/>
            <w:noProof/>
            <w:sz w:val="20"/>
            <w:szCs w:val="20"/>
            <w:lang w:val="es-ES_tradnl"/>
          </w:rPr>
          <w:t>2.</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En cuanto al derecho a contar con decisiones debidamente motivadas y el principio de legalidad</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_Toc527450134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16</w:t>
        </w:r>
        <w:r w:rsidR="000759E6" w:rsidRPr="000759E6">
          <w:rPr>
            <w:rFonts w:asciiTheme="majorHAnsi" w:hAnsiTheme="majorHAnsi"/>
            <w:noProof/>
            <w:webHidden/>
            <w:sz w:val="20"/>
            <w:szCs w:val="20"/>
          </w:rPr>
          <w:fldChar w:fldCharType="end"/>
        </w:r>
      </w:hyperlink>
    </w:p>
    <w:p w14:paraId="0A8F00C1" w14:textId="379A085A" w:rsidR="000759E6" w:rsidRPr="000759E6" w:rsidRDefault="00153BB0">
      <w:pPr>
        <w:pStyle w:val="TOC3"/>
        <w:tabs>
          <w:tab w:val="left" w:pos="2160"/>
        </w:tabs>
        <w:rPr>
          <w:rFonts w:asciiTheme="majorHAnsi" w:eastAsiaTheme="minorEastAsia" w:hAnsiTheme="majorHAnsi" w:cstheme="minorBidi"/>
          <w:noProof/>
          <w:sz w:val="20"/>
          <w:szCs w:val="20"/>
          <w:bdr w:val="none" w:sz="0" w:space="0" w:color="auto"/>
          <w:lang w:val="en-US"/>
        </w:rPr>
      </w:pPr>
      <w:hyperlink w:anchor="_Toc527450135" w:history="1">
        <w:r w:rsidR="000759E6" w:rsidRPr="000759E6">
          <w:rPr>
            <w:rStyle w:val="Hyperlink"/>
            <w:rFonts w:asciiTheme="majorHAnsi" w:hAnsiTheme="majorHAnsi"/>
            <w:noProof/>
            <w:sz w:val="20"/>
            <w:szCs w:val="20"/>
            <w:lang w:val="es-ES_tradnl"/>
          </w:rPr>
          <w:t>3.</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lang w:val="es-ES_tradnl"/>
          </w:rPr>
          <w:t>El derecho a recurrir el fallo y el derecho a la protección judicial</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_Toc527450135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18</w:t>
        </w:r>
        <w:r w:rsidR="000759E6" w:rsidRPr="000759E6">
          <w:rPr>
            <w:rFonts w:asciiTheme="majorHAnsi" w:hAnsiTheme="majorHAnsi"/>
            <w:noProof/>
            <w:webHidden/>
            <w:sz w:val="20"/>
            <w:szCs w:val="20"/>
          </w:rPr>
          <w:fldChar w:fldCharType="end"/>
        </w:r>
      </w:hyperlink>
    </w:p>
    <w:p w14:paraId="2B1C9EEB" w14:textId="3501176D" w:rsidR="000759E6" w:rsidRPr="000759E6" w:rsidRDefault="00153BB0">
      <w:pPr>
        <w:pStyle w:val="TOC2"/>
        <w:rPr>
          <w:rFonts w:asciiTheme="majorHAnsi" w:eastAsiaTheme="minorEastAsia" w:hAnsiTheme="majorHAnsi" w:cstheme="minorBidi"/>
          <w:noProof/>
          <w:sz w:val="20"/>
          <w:szCs w:val="20"/>
          <w:bdr w:val="none" w:sz="0" w:space="0" w:color="auto"/>
          <w:lang w:val="en-US"/>
        </w:rPr>
      </w:pPr>
      <w:hyperlink w:anchor="_Toc527450136" w:history="1">
        <w:r w:rsidR="000759E6" w:rsidRPr="000759E6">
          <w:rPr>
            <w:rStyle w:val="Hyperlink"/>
            <w:rFonts w:asciiTheme="majorHAnsi" w:hAnsiTheme="majorHAnsi"/>
            <w:noProof/>
            <w:sz w:val="20"/>
            <w:szCs w:val="20"/>
          </w:rPr>
          <w:t>C.</w:t>
        </w:r>
        <w:r w:rsidR="000759E6" w:rsidRPr="000759E6">
          <w:rPr>
            <w:rFonts w:asciiTheme="majorHAnsi" w:eastAsiaTheme="minorEastAsia" w:hAnsiTheme="majorHAnsi" w:cstheme="minorBidi"/>
            <w:noProof/>
            <w:sz w:val="20"/>
            <w:szCs w:val="20"/>
            <w:bdr w:val="none" w:sz="0" w:space="0" w:color="auto"/>
            <w:lang w:val="en-US"/>
          </w:rPr>
          <w:tab/>
        </w:r>
        <w:r w:rsidR="000759E6" w:rsidRPr="000759E6">
          <w:rPr>
            <w:rStyle w:val="Hyperlink"/>
            <w:rFonts w:asciiTheme="majorHAnsi" w:hAnsiTheme="majorHAnsi"/>
            <w:noProof/>
            <w:sz w:val="20"/>
            <w:szCs w:val="20"/>
          </w:rPr>
          <w:t>Los derechos políticos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_Toc527450136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19</w:t>
        </w:r>
        <w:r w:rsidR="000759E6" w:rsidRPr="000759E6">
          <w:rPr>
            <w:rFonts w:asciiTheme="majorHAnsi" w:hAnsiTheme="majorHAnsi"/>
            <w:noProof/>
            <w:webHidden/>
            <w:sz w:val="20"/>
            <w:szCs w:val="20"/>
          </w:rPr>
          <w:fldChar w:fldCharType="end"/>
        </w:r>
      </w:hyperlink>
    </w:p>
    <w:p w14:paraId="040956B2" w14:textId="5AAAE8D9" w:rsidR="000759E6" w:rsidRPr="000759E6" w:rsidRDefault="00153BB0">
      <w:pPr>
        <w:pStyle w:val="TOC1"/>
        <w:rPr>
          <w:rFonts w:asciiTheme="majorHAnsi" w:eastAsiaTheme="minorEastAsia" w:hAnsiTheme="majorHAnsi" w:cstheme="minorBidi"/>
          <w:noProof/>
          <w:sz w:val="20"/>
          <w:szCs w:val="20"/>
          <w:bdr w:val="none" w:sz="0" w:space="0" w:color="auto"/>
          <w:lang w:val="en-US"/>
        </w:rPr>
      </w:pPr>
      <w:hyperlink w:anchor="_Toc527450137" w:history="1">
        <w:r w:rsidR="000759E6" w:rsidRPr="000759E6">
          <w:rPr>
            <w:rStyle w:val="Hyperlink"/>
            <w:rFonts w:asciiTheme="majorHAnsi" w:hAnsiTheme="majorHAnsi"/>
            <w:b/>
            <w:noProof/>
            <w:sz w:val="20"/>
            <w:szCs w:val="20"/>
            <w:lang w:val="es-ES_tradnl"/>
          </w:rPr>
          <w:t>V.</w:t>
        </w:r>
        <w:r w:rsidR="000759E6" w:rsidRPr="000759E6">
          <w:rPr>
            <w:rFonts w:asciiTheme="majorHAnsi" w:eastAsiaTheme="minorEastAsia" w:hAnsiTheme="majorHAnsi" w:cstheme="minorBidi"/>
            <w:b/>
            <w:noProof/>
            <w:sz w:val="20"/>
            <w:szCs w:val="20"/>
            <w:bdr w:val="none" w:sz="0" w:space="0" w:color="auto"/>
            <w:lang w:val="en-US"/>
          </w:rPr>
          <w:tab/>
        </w:r>
        <w:r w:rsidR="000759E6" w:rsidRPr="000759E6">
          <w:rPr>
            <w:rStyle w:val="Hyperlink"/>
            <w:rFonts w:asciiTheme="majorHAnsi" w:hAnsiTheme="majorHAnsi"/>
            <w:b/>
            <w:noProof/>
            <w:sz w:val="20"/>
            <w:szCs w:val="20"/>
            <w:lang w:val="es-ES_tradnl"/>
          </w:rPr>
          <w:t>CONCLUSIONES Y RECOMENDACIONES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_Toc527450137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E6403D">
          <w:rPr>
            <w:rFonts w:asciiTheme="majorHAnsi" w:hAnsiTheme="majorHAnsi"/>
            <w:noProof/>
            <w:webHidden/>
            <w:sz w:val="20"/>
            <w:szCs w:val="20"/>
          </w:rPr>
          <w:t>20</w:t>
        </w:r>
        <w:r w:rsidR="000759E6" w:rsidRPr="000759E6">
          <w:rPr>
            <w:rFonts w:asciiTheme="majorHAnsi" w:hAnsiTheme="majorHAnsi"/>
            <w:noProof/>
            <w:webHidden/>
            <w:sz w:val="20"/>
            <w:szCs w:val="20"/>
          </w:rPr>
          <w:fldChar w:fldCharType="end"/>
        </w:r>
      </w:hyperlink>
    </w:p>
    <w:p w14:paraId="754F9C6A" w14:textId="77777777" w:rsidR="008D768D" w:rsidRPr="007253B8" w:rsidRDefault="006125C3" w:rsidP="006125C3">
      <w:pPr>
        <w:tabs>
          <w:tab w:val="center" w:pos="5400"/>
        </w:tabs>
        <w:suppressAutoHyphens/>
        <w:spacing w:line="276" w:lineRule="auto"/>
        <w:rPr>
          <w:rFonts w:asciiTheme="majorHAnsi" w:hAnsiTheme="majorHAnsi"/>
          <w:sz w:val="20"/>
          <w:szCs w:val="20"/>
          <w:lang w:val="es-ES_tradnl"/>
        </w:rPr>
      </w:pPr>
      <w:r w:rsidRPr="00A37F0E">
        <w:rPr>
          <w:rFonts w:asciiTheme="majorHAnsi" w:hAnsiTheme="majorHAnsi"/>
          <w:b/>
          <w:sz w:val="20"/>
          <w:szCs w:val="20"/>
          <w:lang w:val="es-ES_tradnl"/>
        </w:rPr>
        <w:fldChar w:fldCharType="end"/>
      </w:r>
    </w:p>
    <w:p w14:paraId="0A307FBA" w14:textId="77777777" w:rsidR="00722C9F" w:rsidRDefault="00722C9F">
      <w:pPr>
        <w:rPr>
          <w:rFonts w:ascii="Cambria" w:hAnsi="Cambria" w:cs="Calibri"/>
          <w:sz w:val="20"/>
          <w:szCs w:val="20"/>
          <w:lang w:val="es-ES"/>
        </w:rPr>
      </w:pPr>
      <w:r>
        <w:rPr>
          <w:rFonts w:ascii="Cambria" w:hAnsi="Cambria" w:cs="Calibri"/>
          <w:sz w:val="20"/>
          <w:szCs w:val="20"/>
          <w:lang w:val="es-ES"/>
        </w:rPr>
        <w:br w:type="page"/>
      </w:r>
    </w:p>
    <w:p w14:paraId="01A0C7BC" w14:textId="77777777" w:rsidR="00AC1705" w:rsidRDefault="00AC1705" w:rsidP="00722C9F">
      <w:pPr>
        <w:tabs>
          <w:tab w:val="center" w:pos="5400"/>
        </w:tabs>
        <w:suppressAutoHyphens/>
        <w:spacing w:line="276" w:lineRule="auto"/>
        <w:jc w:val="center"/>
        <w:rPr>
          <w:rFonts w:asciiTheme="majorHAnsi" w:hAnsiTheme="majorHAnsi"/>
          <w:b/>
          <w:sz w:val="18"/>
          <w:szCs w:val="20"/>
          <w:lang w:val="es-ES"/>
        </w:rPr>
        <w:sectPr w:rsidR="00AC1705" w:rsidSect="00AC1705">
          <w:type w:val="oddPage"/>
          <w:pgSz w:w="12240" w:h="15840"/>
          <w:pgMar w:top="1440" w:right="1440" w:bottom="1440" w:left="1440" w:header="720" w:footer="720" w:gutter="0"/>
          <w:pgNumType w:start="1"/>
          <w:cols w:space="720"/>
          <w:docGrid w:linePitch="326"/>
        </w:sectPr>
      </w:pPr>
    </w:p>
    <w:p w14:paraId="101B1D83" w14:textId="77777777" w:rsidR="00722C9F" w:rsidRPr="00F902EB" w:rsidRDefault="007C756A" w:rsidP="00F45C8C">
      <w:pPr>
        <w:tabs>
          <w:tab w:val="center" w:pos="5400"/>
        </w:tabs>
        <w:suppressAutoHyphens/>
        <w:spacing w:line="276" w:lineRule="auto"/>
        <w:jc w:val="center"/>
        <w:rPr>
          <w:rFonts w:asciiTheme="majorHAnsi" w:hAnsiTheme="majorHAnsi"/>
          <w:b/>
          <w:sz w:val="18"/>
          <w:szCs w:val="20"/>
          <w:lang w:val="es-ES"/>
        </w:rPr>
      </w:pPr>
      <w:r w:rsidRPr="00F902EB">
        <w:rPr>
          <w:rFonts w:asciiTheme="majorHAnsi" w:hAnsiTheme="majorHAnsi"/>
          <w:b/>
          <w:sz w:val="18"/>
          <w:szCs w:val="20"/>
          <w:lang w:val="es-ES"/>
        </w:rPr>
        <w:t xml:space="preserve">INFORME No. </w:t>
      </w:r>
      <w:r w:rsidR="009304DF">
        <w:rPr>
          <w:rFonts w:asciiTheme="majorHAnsi" w:hAnsiTheme="majorHAnsi"/>
          <w:b/>
          <w:sz w:val="18"/>
          <w:szCs w:val="20"/>
          <w:lang w:val="es-ES"/>
        </w:rPr>
        <w:t>159/18</w:t>
      </w:r>
    </w:p>
    <w:p w14:paraId="7B47F67D" w14:textId="77777777" w:rsidR="00F45C8C" w:rsidRPr="00921478" w:rsidRDefault="00F45C8C" w:rsidP="00F45C8C">
      <w:pPr>
        <w:tabs>
          <w:tab w:val="center" w:pos="5400"/>
        </w:tabs>
        <w:suppressAutoHyphens/>
        <w:spacing w:line="276" w:lineRule="auto"/>
        <w:jc w:val="center"/>
        <w:rPr>
          <w:rFonts w:asciiTheme="majorHAnsi" w:hAnsiTheme="majorHAnsi"/>
          <w:b/>
          <w:sz w:val="18"/>
          <w:szCs w:val="20"/>
        </w:rPr>
      </w:pPr>
      <w:r w:rsidRPr="00921478">
        <w:rPr>
          <w:rFonts w:asciiTheme="majorHAnsi" w:hAnsiTheme="majorHAnsi"/>
          <w:b/>
          <w:sz w:val="18"/>
          <w:szCs w:val="20"/>
        </w:rPr>
        <w:t>CASO 12.993</w:t>
      </w:r>
    </w:p>
    <w:p w14:paraId="12C82531" w14:textId="77777777" w:rsidR="00F45C8C" w:rsidRPr="00722C9F" w:rsidRDefault="00F45C8C" w:rsidP="00F45C8C">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FONDO</w:t>
      </w:r>
    </w:p>
    <w:p w14:paraId="234789C4" w14:textId="77777777" w:rsidR="00F45C8C" w:rsidRPr="00722C9F" w:rsidRDefault="00F45C8C" w:rsidP="00F45C8C">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JORGE LUIS CUYA LAVY Y OTROS</w:t>
      </w:r>
    </w:p>
    <w:p w14:paraId="0A7CEA31" w14:textId="77777777" w:rsidR="00722C9F" w:rsidRDefault="00F45C8C" w:rsidP="00F45C8C">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PERU</w:t>
      </w:r>
      <w:r w:rsidR="005C4CA5">
        <w:rPr>
          <w:rStyle w:val="FootnoteReference"/>
          <w:rFonts w:asciiTheme="majorHAnsi" w:hAnsiTheme="majorHAnsi"/>
          <w:sz w:val="18"/>
          <w:szCs w:val="20"/>
          <w:lang w:val="es-ES_tradnl"/>
        </w:rPr>
        <w:footnoteReference w:id="2"/>
      </w:r>
    </w:p>
    <w:p w14:paraId="7530FFF0" w14:textId="77777777" w:rsidR="00722C9F" w:rsidRDefault="009304DF"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DICIEMBRE DE 2018</w:t>
      </w:r>
    </w:p>
    <w:p w14:paraId="73D7857B" w14:textId="77777777" w:rsidR="005937F1" w:rsidRDefault="005937F1" w:rsidP="005937F1">
      <w:pPr>
        <w:pStyle w:val="ListParagraph"/>
        <w:suppressAutoHyphens/>
        <w:ind w:left="1440"/>
        <w:rPr>
          <w:rFonts w:asciiTheme="majorHAnsi" w:hAnsiTheme="majorHAnsi"/>
          <w:b/>
          <w:sz w:val="20"/>
          <w:szCs w:val="20"/>
          <w:lang w:val="es-ES_tradnl"/>
        </w:rPr>
      </w:pPr>
    </w:p>
    <w:p w14:paraId="2E28C415" w14:textId="77777777" w:rsidR="00D12193" w:rsidRPr="00AC1705" w:rsidRDefault="00D12193" w:rsidP="00AC1705">
      <w:pPr>
        <w:pStyle w:val="Heading1"/>
        <w:spacing w:before="0"/>
        <w:ind w:hanging="90"/>
        <w:rPr>
          <w:color w:val="auto"/>
          <w:sz w:val="20"/>
          <w:szCs w:val="20"/>
          <w:lang w:val="es-ES_tradnl"/>
        </w:rPr>
      </w:pPr>
      <w:bookmarkStart w:id="1" w:name="_Toc527450115"/>
      <w:r w:rsidRPr="00AC1705">
        <w:rPr>
          <w:color w:val="auto"/>
          <w:sz w:val="20"/>
          <w:szCs w:val="20"/>
          <w:lang w:val="es-ES_tradnl"/>
        </w:rPr>
        <w:t>RESUMEN</w:t>
      </w:r>
      <w:bookmarkEnd w:id="1"/>
      <w:r w:rsidR="00361415" w:rsidRPr="00AC1705">
        <w:rPr>
          <w:color w:val="auto"/>
          <w:sz w:val="20"/>
          <w:szCs w:val="20"/>
          <w:lang w:val="es-ES_tradnl"/>
        </w:rPr>
        <w:t xml:space="preserve"> </w:t>
      </w:r>
    </w:p>
    <w:p w14:paraId="6CF731F8" w14:textId="77777777" w:rsidR="005C4CA5" w:rsidRDefault="005C4CA5" w:rsidP="005C4CA5">
      <w:pPr>
        <w:suppressAutoHyphens/>
        <w:ind w:left="360"/>
        <w:rPr>
          <w:rFonts w:asciiTheme="majorHAnsi" w:hAnsiTheme="majorHAnsi"/>
          <w:b/>
          <w:sz w:val="20"/>
          <w:szCs w:val="20"/>
          <w:lang w:val="es-ES_tradnl"/>
        </w:rPr>
      </w:pPr>
    </w:p>
    <w:p w14:paraId="6244D6DA" w14:textId="77777777" w:rsidR="009014A4" w:rsidRPr="00975FF7" w:rsidRDefault="00E27448" w:rsidP="00975F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Entre los años 2003 y 2008</w:t>
      </w:r>
      <w:r w:rsidR="005C4CA5" w:rsidRPr="009014A4">
        <w:rPr>
          <w:rFonts w:ascii="Cambria" w:hAnsi="Cambria"/>
          <w:color w:val="000000" w:themeColor="text1"/>
          <w:sz w:val="20"/>
          <w:szCs w:val="20"/>
          <w:lang w:val="es-VE"/>
        </w:rPr>
        <w:t xml:space="preserve"> la Comisión Interamericana de Derechos Humanos (en adelante “la Comisión Interamericana”, “la Comisión” o “la CIDH”) recibió </w:t>
      </w:r>
      <w:r>
        <w:rPr>
          <w:rFonts w:ascii="Cambria" w:hAnsi="Cambria"/>
          <w:color w:val="000000" w:themeColor="text1"/>
          <w:sz w:val="20"/>
          <w:szCs w:val="20"/>
          <w:lang w:val="es-VE"/>
        </w:rPr>
        <w:t>cuatro peticio</w:t>
      </w:r>
      <w:r w:rsidR="005C4CA5" w:rsidRPr="009014A4">
        <w:rPr>
          <w:rFonts w:ascii="Cambria" w:hAnsi="Cambria"/>
          <w:color w:val="000000" w:themeColor="text1"/>
          <w:sz w:val="20"/>
          <w:szCs w:val="20"/>
          <w:lang w:val="es-VE"/>
        </w:rPr>
        <w:t>n</w:t>
      </w:r>
      <w:r>
        <w:rPr>
          <w:rFonts w:ascii="Cambria" w:hAnsi="Cambria"/>
          <w:color w:val="000000" w:themeColor="text1"/>
          <w:sz w:val="20"/>
          <w:szCs w:val="20"/>
          <w:lang w:val="es-VE"/>
        </w:rPr>
        <w:t>es presentada</w:t>
      </w:r>
      <w:r w:rsidR="0032305C">
        <w:rPr>
          <w:rFonts w:ascii="Cambria" w:hAnsi="Cambria"/>
          <w:color w:val="000000" w:themeColor="text1"/>
          <w:sz w:val="20"/>
          <w:szCs w:val="20"/>
          <w:lang w:val="es-VE"/>
        </w:rPr>
        <w:t>s</w:t>
      </w:r>
      <w:r>
        <w:rPr>
          <w:rFonts w:ascii="Cambria" w:hAnsi="Cambria"/>
          <w:color w:val="000000" w:themeColor="text1"/>
          <w:sz w:val="20"/>
          <w:szCs w:val="20"/>
          <w:lang w:val="es-VE"/>
        </w:rPr>
        <w:t xml:space="preserve"> por </w:t>
      </w:r>
      <w:r w:rsidRPr="00AE42C3">
        <w:rPr>
          <w:rFonts w:asciiTheme="majorHAnsi" w:hAnsiTheme="majorHAnsi"/>
          <w:sz w:val="20"/>
          <w:szCs w:val="20"/>
          <w:lang w:val="es-VE"/>
        </w:rPr>
        <w:t xml:space="preserve">Jorge Luis Cuya </w:t>
      </w:r>
      <w:r>
        <w:rPr>
          <w:rFonts w:asciiTheme="majorHAnsi" w:hAnsiTheme="majorHAnsi"/>
          <w:sz w:val="20"/>
          <w:szCs w:val="20"/>
          <w:lang w:val="es-VE"/>
        </w:rPr>
        <w:t xml:space="preserve">Lavy, Jean Aubert Díaz Alvarado, </w:t>
      </w:r>
      <w:r w:rsidRPr="00AE42C3">
        <w:rPr>
          <w:rFonts w:asciiTheme="majorHAnsi" w:hAnsiTheme="majorHAnsi"/>
          <w:sz w:val="20"/>
          <w:szCs w:val="20"/>
          <w:lang w:val="es-VE"/>
        </w:rPr>
        <w:t>Marta Silvana Rodríguez</w:t>
      </w:r>
      <w:r>
        <w:rPr>
          <w:rFonts w:asciiTheme="majorHAnsi" w:hAnsiTheme="majorHAnsi"/>
          <w:sz w:val="20"/>
          <w:szCs w:val="20"/>
          <w:lang w:val="es-VE"/>
        </w:rPr>
        <w:t xml:space="preserve"> </w:t>
      </w:r>
      <w:r w:rsidR="00CA5C42">
        <w:rPr>
          <w:rFonts w:asciiTheme="majorHAnsi" w:hAnsiTheme="majorHAnsi"/>
          <w:sz w:val="20"/>
          <w:szCs w:val="20"/>
          <w:lang w:val="es-VE"/>
        </w:rPr>
        <w:t xml:space="preserve">Ricse </w:t>
      </w:r>
      <w:r>
        <w:rPr>
          <w:rFonts w:asciiTheme="majorHAnsi" w:hAnsiTheme="majorHAnsi"/>
          <w:sz w:val="20"/>
          <w:szCs w:val="20"/>
          <w:lang w:val="es-VE"/>
        </w:rPr>
        <w:t xml:space="preserve">y </w:t>
      </w:r>
      <w:r w:rsidRPr="00975FF7">
        <w:rPr>
          <w:rFonts w:ascii="Cambria" w:hAnsi="Cambria"/>
          <w:color w:val="000000" w:themeColor="text1"/>
          <w:sz w:val="20"/>
          <w:szCs w:val="20"/>
          <w:lang w:val="es-VE"/>
        </w:rPr>
        <w:t>Walter Antonio Valenzuela Cerna</w:t>
      </w:r>
      <w:r w:rsidR="005C4CA5" w:rsidRPr="009014A4">
        <w:rPr>
          <w:rFonts w:ascii="Cambria" w:hAnsi="Cambria"/>
          <w:color w:val="000000" w:themeColor="text1"/>
          <w:sz w:val="20"/>
          <w:szCs w:val="20"/>
          <w:lang w:val="es-VE"/>
        </w:rPr>
        <w:t xml:space="preserve"> (en adelante “la parte peticionaria”) en la</w:t>
      </w:r>
      <w:r>
        <w:rPr>
          <w:rFonts w:ascii="Cambria" w:hAnsi="Cambria"/>
          <w:color w:val="000000" w:themeColor="text1"/>
          <w:sz w:val="20"/>
          <w:szCs w:val="20"/>
          <w:lang w:val="es-VE"/>
        </w:rPr>
        <w:t>s</w:t>
      </w:r>
      <w:r w:rsidR="005C4CA5" w:rsidRPr="009014A4">
        <w:rPr>
          <w:rFonts w:ascii="Cambria" w:hAnsi="Cambria"/>
          <w:color w:val="000000" w:themeColor="text1"/>
          <w:sz w:val="20"/>
          <w:szCs w:val="20"/>
          <w:lang w:val="es-VE"/>
        </w:rPr>
        <w:t xml:space="preserve"> cual</w:t>
      </w:r>
      <w:r>
        <w:rPr>
          <w:rFonts w:ascii="Cambria" w:hAnsi="Cambria"/>
          <w:color w:val="000000" w:themeColor="text1"/>
          <w:sz w:val="20"/>
          <w:szCs w:val="20"/>
          <w:lang w:val="es-VE"/>
        </w:rPr>
        <w:t>es</w:t>
      </w:r>
      <w:r w:rsidR="005C4CA5" w:rsidRPr="009014A4">
        <w:rPr>
          <w:rFonts w:ascii="Cambria" w:hAnsi="Cambria"/>
          <w:color w:val="000000" w:themeColor="text1"/>
          <w:sz w:val="20"/>
          <w:szCs w:val="20"/>
          <w:lang w:val="es-VE"/>
        </w:rPr>
        <w:t xml:space="preserve"> alega</w:t>
      </w:r>
      <w:r w:rsidR="00F266BD">
        <w:rPr>
          <w:rFonts w:ascii="Cambria" w:hAnsi="Cambria"/>
          <w:color w:val="000000" w:themeColor="text1"/>
          <w:sz w:val="20"/>
          <w:szCs w:val="20"/>
          <w:lang w:val="es-VE"/>
        </w:rPr>
        <w:t>n</w:t>
      </w:r>
      <w:r w:rsidR="005C4CA5" w:rsidRPr="009014A4">
        <w:rPr>
          <w:rFonts w:ascii="Cambria" w:hAnsi="Cambria"/>
          <w:color w:val="000000" w:themeColor="text1"/>
          <w:sz w:val="20"/>
          <w:szCs w:val="20"/>
          <w:lang w:val="es-VE"/>
        </w:rPr>
        <w:t xml:space="preserve"> la responsabilidad internacional </w:t>
      </w:r>
      <w:r w:rsidR="005C4CA5" w:rsidRPr="00975FF7">
        <w:rPr>
          <w:rFonts w:ascii="Cambria" w:hAnsi="Cambria"/>
          <w:sz w:val="20"/>
          <w:szCs w:val="20"/>
          <w:lang w:val="es-VE"/>
        </w:rPr>
        <w:t xml:space="preserve">de </w:t>
      </w:r>
      <w:r w:rsidR="00975FF7" w:rsidRPr="00975FF7">
        <w:rPr>
          <w:rFonts w:ascii="Cambria" w:hAnsi="Cambria"/>
          <w:sz w:val="20"/>
          <w:szCs w:val="20"/>
          <w:lang w:val="es-VE"/>
        </w:rPr>
        <w:t>la República del Perú</w:t>
      </w:r>
      <w:r w:rsidR="005C4CA5" w:rsidRPr="00975FF7">
        <w:rPr>
          <w:rFonts w:ascii="Cambria" w:hAnsi="Cambria"/>
          <w:sz w:val="20"/>
          <w:szCs w:val="20"/>
          <w:lang w:val="es-VE"/>
        </w:rPr>
        <w:t xml:space="preserve"> </w:t>
      </w:r>
      <w:r w:rsidR="005C4CA5" w:rsidRPr="009014A4">
        <w:rPr>
          <w:rFonts w:ascii="Cambria" w:hAnsi="Cambria"/>
          <w:color w:val="000000" w:themeColor="text1"/>
          <w:sz w:val="20"/>
          <w:szCs w:val="20"/>
          <w:lang w:val="es-VE"/>
        </w:rPr>
        <w:t xml:space="preserve">(en adelante “el Estado </w:t>
      </w:r>
      <w:r w:rsidR="00975FF7">
        <w:rPr>
          <w:rFonts w:ascii="Cambria" w:hAnsi="Cambria"/>
          <w:color w:val="000000" w:themeColor="text1"/>
          <w:sz w:val="20"/>
          <w:szCs w:val="20"/>
          <w:lang w:val="es-VE"/>
        </w:rPr>
        <w:t>peruano</w:t>
      </w:r>
      <w:r w:rsidR="005C4CA5" w:rsidRPr="009014A4">
        <w:rPr>
          <w:rFonts w:ascii="Cambria" w:hAnsi="Cambria"/>
          <w:color w:val="000000" w:themeColor="text1"/>
          <w:sz w:val="20"/>
          <w:szCs w:val="20"/>
          <w:lang w:val="es-VE"/>
        </w:rPr>
        <w:t>”, “el Estado” o “</w:t>
      </w:r>
      <w:r w:rsidR="00975FF7">
        <w:rPr>
          <w:rFonts w:ascii="Cambria" w:hAnsi="Cambria"/>
          <w:color w:val="000000" w:themeColor="text1"/>
          <w:sz w:val="20"/>
          <w:szCs w:val="20"/>
          <w:lang w:val="es-VE"/>
        </w:rPr>
        <w:t>Perú</w:t>
      </w:r>
      <w:r w:rsidR="005C4CA5" w:rsidRPr="009014A4">
        <w:rPr>
          <w:rFonts w:ascii="Cambria" w:hAnsi="Cambria"/>
          <w:color w:val="000000" w:themeColor="text1"/>
          <w:sz w:val="20"/>
          <w:szCs w:val="20"/>
          <w:lang w:val="es-VE"/>
        </w:rPr>
        <w:t>”)</w:t>
      </w:r>
      <w:r w:rsidR="00501E91">
        <w:rPr>
          <w:rFonts w:ascii="Cambria" w:hAnsi="Cambria"/>
          <w:color w:val="000000" w:themeColor="text1"/>
          <w:sz w:val="20"/>
          <w:szCs w:val="20"/>
          <w:lang w:val="es-VE"/>
        </w:rPr>
        <w:t xml:space="preserve"> en </w:t>
      </w:r>
      <w:r w:rsidR="00F266BD">
        <w:rPr>
          <w:rFonts w:ascii="Cambria" w:hAnsi="Cambria"/>
          <w:color w:val="000000" w:themeColor="text1"/>
          <w:sz w:val="20"/>
          <w:szCs w:val="20"/>
          <w:lang w:val="es-VE"/>
        </w:rPr>
        <w:t xml:space="preserve">su perjuicio. </w:t>
      </w:r>
    </w:p>
    <w:p w14:paraId="05F3486F" w14:textId="77777777" w:rsidR="009014A4"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14:paraId="612E78A1" w14:textId="77777777" w:rsidR="009014A4" w:rsidRPr="009014A4" w:rsidRDefault="009014A4" w:rsidP="003F2B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975FF7">
        <w:rPr>
          <w:rFonts w:ascii="Cambria" w:hAnsi="Cambria"/>
          <w:sz w:val="20"/>
          <w:szCs w:val="20"/>
          <w:lang w:val="es-VE"/>
        </w:rPr>
        <w:t>L</w:t>
      </w:r>
      <w:r w:rsidRPr="00975FF7">
        <w:rPr>
          <w:rFonts w:ascii="Cambria" w:hAnsi="Cambria"/>
          <w:sz w:val="20"/>
          <w:szCs w:val="20"/>
          <w:lang w:val="es-ES_tradnl"/>
        </w:rPr>
        <w:t xml:space="preserve">a Comisión aprobó el informe de admisibilidad No. </w:t>
      </w:r>
      <w:r w:rsidR="00640B58" w:rsidRPr="00975FF7">
        <w:rPr>
          <w:rFonts w:ascii="Cambria" w:hAnsi="Cambria"/>
          <w:sz w:val="20"/>
          <w:szCs w:val="20"/>
          <w:lang w:val="es-ES_tradnl"/>
        </w:rPr>
        <w:t>19</w:t>
      </w:r>
      <w:r w:rsidRPr="00975FF7">
        <w:rPr>
          <w:rFonts w:ascii="Cambria" w:hAnsi="Cambria"/>
          <w:sz w:val="20"/>
          <w:szCs w:val="20"/>
          <w:lang w:val="es-ES_tradnl"/>
        </w:rPr>
        <w:t>/</w:t>
      </w:r>
      <w:r w:rsidR="00640B58" w:rsidRPr="00975FF7">
        <w:rPr>
          <w:rFonts w:ascii="Cambria" w:hAnsi="Cambria"/>
          <w:sz w:val="20"/>
          <w:szCs w:val="20"/>
          <w:lang w:val="es-ES_tradnl"/>
        </w:rPr>
        <w:t>15</w:t>
      </w:r>
      <w:r w:rsidRPr="00975FF7">
        <w:rPr>
          <w:rFonts w:ascii="Cambria" w:hAnsi="Cambria"/>
          <w:sz w:val="20"/>
          <w:szCs w:val="20"/>
          <w:lang w:val="es-ES_tradnl"/>
        </w:rPr>
        <w:t xml:space="preserve"> el </w:t>
      </w:r>
      <w:r w:rsidR="00640B58" w:rsidRPr="00975FF7">
        <w:rPr>
          <w:rFonts w:ascii="Cambria" w:hAnsi="Cambria"/>
          <w:sz w:val="20"/>
          <w:szCs w:val="20"/>
          <w:lang w:val="es-ES_tradnl"/>
        </w:rPr>
        <w:t>24</w:t>
      </w:r>
      <w:r w:rsidRPr="00975FF7">
        <w:rPr>
          <w:rFonts w:ascii="Cambria" w:hAnsi="Cambria"/>
          <w:sz w:val="20"/>
          <w:szCs w:val="20"/>
          <w:lang w:val="es-ES_tradnl"/>
        </w:rPr>
        <w:t xml:space="preserve"> de </w:t>
      </w:r>
      <w:r w:rsidR="00640B58" w:rsidRPr="00975FF7">
        <w:rPr>
          <w:rFonts w:ascii="Cambria" w:hAnsi="Cambria"/>
          <w:sz w:val="20"/>
          <w:szCs w:val="20"/>
          <w:lang w:val="es-ES_tradnl"/>
        </w:rPr>
        <w:t>marzo</w:t>
      </w:r>
      <w:r w:rsidRPr="00975FF7">
        <w:rPr>
          <w:rFonts w:ascii="Cambria" w:hAnsi="Cambria"/>
          <w:sz w:val="20"/>
          <w:szCs w:val="20"/>
          <w:lang w:val="es-ES_tradnl"/>
        </w:rPr>
        <w:t xml:space="preserve"> de </w:t>
      </w:r>
      <w:r w:rsidR="00640B58" w:rsidRPr="00975FF7">
        <w:rPr>
          <w:rFonts w:ascii="Cambria" w:hAnsi="Cambria"/>
          <w:sz w:val="20"/>
          <w:szCs w:val="20"/>
          <w:lang w:val="es-ES_tradnl"/>
        </w:rPr>
        <w:t>2015</w:t>
      </w:r>
      <w:r w:rsidRPr="00975FF7">
        <w:rPr>
          <w:rStyle w:val="FootnoteReference"/>
          <w:rFonts w:ascii="Cambria" w:hAnsi="Cambria"/>
          <w:sz w:val="20"/>
          <w:szCs w:val="20"/>
          <w:lang w:val="es-ES_tradnl"/>
        </w:rPr>
        <w:footnoteReference w:id="3"/>
      </w:r>
      <w:r w:rsidR="00AF7988" w:rsidRPr="00975FF7">
        <w:rPr>
          <w:rFonts w:ascii="Cambria" w:hAnsi="Cambria"/>
          <w:sz w:val="20"/>
          <w:szCs w:val="20"/>
          <w:lang w:val="es-ES_tradnl"/>
        </w:rPr>
        <w:t xml:space="preserve">. </w:t>
      </w:r>
      <w:r w:rsidRPr="00975FF7">
        <w:rPr>
          <w:rFonts w:ascii="Cambria" w:hAnsi="Cambria"/>
          <w:sz w:val="20"/>
          <w:szCs w:val="20"/>
          <w:lang w:val="es-ES_tradnl"/>
        </w:rPr>
        <w:t xml:space="preserve">El </w:t>
      </w:r>
      <w:r w:rsidR="00FD2E67" w:rsidRPr="00975FF7">
        <w:rPr>
          <w:rFonts w:ascii="Cambria" w:hAnsi="Cambria"/>
          <w:sz w:val="20"/>
          <w:szCs w:val="20"/>
          <w:lang w:val="es-ES_tradnl"/>
        </w:rPr>
        <w:t>13</w:t>
      </w:r>
      <w:r w:rsidRPr="00975FF7">
        <w:rPr>
          <w:rFonts w:ascii="Cambria" w:hAnsi="Cambria"/>
          <w:sz w:val="20"/>
          <w:szCs w:val="20"/>
          <w:lang w:val="es-ES_tradnl"/>
        </w:rPr>
        <w:t xml:space="preserve"> de </w:t>
      </w:r>
      <w:r w:rsidR="00FD2E67" w:rsidRPr="00975FF7">
        <w:rPr>
          <w:rFonts w:ascii="Cambria" w:hAnsi="Cambria"/>
          <w:sz w:val="20"/>
          <w:szCs w:val="20"/>
          <w:lang w:val="es-ES_tradnl"/>
        </w:rPr>
        <w:t>abril</w:t>
      </w:r>
      <w:r w:rsidRPr="00975FF7">
        <w:rPr>
          <w:rFonts w:ascii="Cambria" w:hAnsi="Cambria"/>
          <w:sz w:val="20"/>
          <w:szCs w:val="20"/>
          <w:lang w:val="es-ES_tradnl"/>
        </w:rPr>
        <w:t xml:space="preserve"> de </w:t>
      </w:r>
      <w:r w:rsidR="00FD2E67" w:rsidRPr="00975FF7">
        <w:rPr>
          <w:rFonts w:ascii="Cambria" w:hAnsi="Cambria"/>
          <w:sz w:val="20"/>
          <w:szCs w:val="20"/>
          <w:lang w:val="es-ES_tradnl"/>
        </w:rPr>
        <w:t>2015</w:t>
      </w:r>
      <w:r w:rsidRPr="00975FF7">
        <w:rPr>
          <w:rFonts w:ascii="Cambria" w:hAnsi="Cambria"/>
          <w:sz w:val="20"/>
          <w:szCs w:val="20"/>
          <w:lang w:val="es-ES_tradnl"/>
        </w:rPr>
        <w:t xml:space="preserve"> la Comisión notificó dicho informe a las partes y se puso a su disposición a fin de llegar a una solución amistosa</w:t>
      </w:r>
      <w:r w:rsidR="00D55C32">
        <w:rPr>
          <w:rFonts w:ascii="Cambria" w:hAnsi="Cambria"/>
          <w:sz w:val="20"/>
          <w:szCs w:val="20"/>
          <w:lang w:val="es-ES_tradnl"/>
        </w:rPr>
        <w:t>, sin que se dieran las condiciones para iniciar dicho procedimiento</w:t>
      </w:r>
      <w:r w:rsidRPr="00975FF7">
        <w:rPr>
          <w:rFonts w:ascii="Cambria" w:hAnsi="Cambria"/>
          <w:sz w:val="20"/>
          <w:szCs w:val="20"/>
          <w:lang w:val="es-ES_tradnl"/>
        </w:rPr>
        <w:t xml:space="preserve">. Las partes contaron con los plazos </w:t>
      </w:r>
      <w:r w:rsidRPr="009014A4">
        <w:rPr>
          <w:rFonts w:ascii="Cambria" w:hAnsi="Cambria"/>
          <w:sz w:val="20"/>
          <w:szCs w:val="20"/>
          <w:lang w:val="es-ES_tradnl"/>
        </w:rPr>
        <w:t>reglamentarios para presentar sus observaciones adicionales sobre el fondo.</w:t>
      </w:r>
      <w:r w:rsidR="00FD2E67">
        <w:rPr>
          <w:rFonts w:ascii="Cambria" w:hAnsi="Cambria"/>
          <w:sz w:val="20"/>
          <w:szCs w:val="20"/>
          <w:lang w:val="es-ES_tradnl"/>
        </w:rPr>
        <w:t xml:space="preserve"> </w:t>
      </w:r>
      <w:r w:rsidRPr="009014A4">
        <w:rPr>
          <w:rFonts w:ascii="Cambria" w:hAnsi="Cambria"/>
          <w:sz w:val="20"/>
          <w:szCs w:val="20"/>
          <w:lang w:val="es-ES_tradnl"/>
        </w:rPr>
        <w:t xml:space="preserve">Toda la información recibida fue debidamente trasladada entre las partes. </w:t>
      </w:r>
    </w:p>
    <w:p w14:paraId="4ED69C11" w14:textId="77777777" w:rsidR="009014A4"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VE"/>
        </w:rPr>
      </w:pPr>
    </w:p>
    <w:p w14:paraId="1A2E2161" w14:textId="77777777" w:rsidR="009754C7" w:rsidRDefault="007B31A0" w:rsidP="003F2B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Los peticionarios alegaron que entre los años 2001 y 2002, el Estado los convocó, en su calidad de jueces y fiscales, a un proceso de evaluación y ratificación de ac</w:t>
      </w:r>
      <w:r w:rsidR="0040569F">
        <w:rPr>
          <w:rFonts w:ascii="Cambria" w:hAnsi="Cambria"/>
          <w:color w:val="000000" w:themeColor="text1"/>
          <w:sz w:val="20"/>
          <w:szCs w:val="20"/>
          <w:lang w:val="es-VE"/>
        </w:rPr>
        <w:t>uerdo con lo establecido en la Constitución P</w:t>
      </w:r>
      <w:r>
        <w:rPr>
          <w:rFonts w:ascii="Cambria" w:hAnsi="Cambria"/>
          <w:color w:val="000000" w:themeColor="text1"/>
          <w:sz w:val="20"/>
          <w:szCs w:val="20"/>
          <w:lang w:val="es-VE"/>
        </w:rPr>
        <w:t>olítica</w:t>
      </w:r>
      <w:r w:rsidR="00FE0A84">
        <w:rPr>
          <w:rFonts w:ascii="Cambria" w:hAnsi="Cambria"/>
          <w:color w:val="000000" w:themeColor="text1"/>
          <w:sz w:val="20"/>
          <w:szCs w:val="20"/>
          <w:lang w:val="es-VE"/>
        </w:rPr>
        <w:t xml:space="preserve"> de 1993</w:t>
      </w:r>
      <w:r w:rsidR="00D86F16">
        <w:rPr>
          <w:rFonts w:ascii="Cambria" w:hAnsi="Cambria"/>
          <w:color w:val="000000" w:themeColor="text1"/>
          <w:sz w:val="20"/>
          <w:szCs w:val="20"/>
          <w:lang w:val="es-VE"/>
        </w:rPr>
        <w:t xml:space="preserve">, dentro del cual </w:t>
      </w:r>
      <w:r>
        <w:rPr>
          <w:rFonts w:ascii="Cambria" w:hAnsi="Cambria"/>
          <w:color w:val="000000" w:themeColor="text1"/>
          <w:sz w:val="20"/>
          <w:szCs w:val="20"/>
          <w:lang w:val="es-VE"/>
        </w:rPr>
        <w:t>se emitieron resoluciones</w:t>
      </w:r>
      <w:r w:rsidR="00FE0A84">
        <w:rPr>
          <w:rFonts w:ascii="Cambria" w:hAnsi="Cambria"/>
          <w:color w:val="000000" w:themeColor="text1"/>
          <w:sz w:val="20"/>
          <w:szCs w:val="20"/>
          <w:lang w:val="es-VE"/>
        </w:rPr>
        <w:t xml:space="preserve"> sin motivación</w:t>
      </w:r>
      <w:r>
        <w:rPr>
          <w:rFonts w:ascii="Cambria" w:hAnsi="Cambria"/>
          <w:color w:val="000000" w:themeColor="text1"/>
          <w:sz w:val="20"/>
          <w:szCs w:val="20"/>
          <w:lang w:val="es-VE"/>
        </w:rPr>
        <w:t xml:space="preserve"> decretando su no ratificación, </w:t>
      </w:r>
      <w:r w:rsidR="00FE0A84">
        <w:rPr>
          <w:rFonts w:ascii="Cambria" w:hAnsi="Cambria"/>
          <w:color w:val="000000" w:themeColor="text1"/>
          <w:sz w:val="20"/>
          <w:szCs w:val="20"/>
          <w:lang w:val="es-VE"/>
        </w:rPr>
        <w:t>las cuales</w:t>
      </w:r>
      <w:r>
        <w:rPr>
          <w:rFonts w:ascii="Cambria" w:hAnsi="Cambria"/>
          <w:color w:val="000000" w:themeColor="text1"/>
          <w:sz w:val="20"/>
          <w:szCs w:val="20"/>
          <w:lang w:val="es-VE"/>
        </w:rPr>
        <w:t xml:space="preserve"> eran inimpugnables tanto en s</w:t>
      </w:r>
      <w:r w:rsidR="00FE0A84">
        <w:rPr>
          <w:rFonts w:ascii="Cambria" w:hAnsi="Cambria"/>
          <w:color w:val="000000" w:themeColor="text1"/>
          <w:sz w:val="20"/>
          <w:szCs w:val="20"/>
          <w:lang w:val="es-VE"/>
        </w:rPr>
        <w:t>ede judicial como administrativa</w:t>
      </w:r>
      <w:r>
        <w:rPr>
          <w:rFonts w:ascii="Cambria" w:hAnsi="Cambria"/>
          <w:color w:val="000000" w:themeColor="text1"/>
          <w:sz w:val="20"/>
          <w:szCs w:val="20"/>
          <w:lang w:val="es-VE"/>
        </w:rPr>
        <w:t xml:space="preserve"> </w:t>
      </w:r>
      <w:r w:rsidR="00D86F16">
        <w:rPr>
          <w:rFonts w:ascii="Cambria" w:hAnsi="Cambria"/>
          <w:color w:val="000000" w:themeColor="text1"/>
          <w:sz w:val="20"/>
          <w:szCs w:val="20"/>
          <w:lang w:val="es-VE"/>
        </w:rPr>
        <w:t xml:space="preserve">e </w:t>
      </w:r>
      <w:r>
        <w:rPr>
          <w:rFonts w:ascii="Cambria" w:hAnsi="Cambria"/>
          <w:color w:val="000000" w:themeColor="text1"/>
          <w:sz w:val="20"/>
          <w:szCs w:val="20"/>
          <w:lang w:val="es-VE"/>
        </w:rPr>
        <w:t>implicaba</w:t>
      </w:r>
      <w:r w:rsidR="003205EC">
        <w:rPr>
          <w:rFonts w:ascii="Cambria" w:hAnsi="Cambria"/>
          <w:color w:val="000000" w:themeColor="text1"/>
          <w:sz w:val="20"/>
          <w:szCs w:val="20"/>
          <w:lang w:val="es-VE"/>
        </w:rPr>
        <w:t>n</w:t>
      </w:r>
      <w:r>
        <w:rPr>
          <w:rFonts w:ascii="Cambria" w:hAnsi="Cambria"/>
          <w:color w:val="000000" w:themeColor="text1"/>
          <w:sz w:val="20"/>
          <w:szCs w:val="20"/>
          <w:lang w:val="es-VE"/>
        </w:rPr>
        <w:t xml:space="preserve"> la prohibición de reingresar al Poder Judicial y al Ministerio P</w:t>
      </w:r>
      <w:r w:rsidR="003205EC">
        <w:rPr>
          <w:rFonts w:ascii="Cambria" w:hAnsi="Cambria"/>
          <w:color w:val="000000" w:themeColor="text1"/>
          <w:sz w:val="20"/>
          <w:szCs w:val="20"/>
          <w:lang w:val="es-VE"/>
        </w:rPr>
        <w:t xml:space="preserve">úblico, lo cual materializó </w:t>
      </w:r>
      <w:r w:rsidR="00304CC9">
        <w:rPr>
          <w:rFonts w:ascii="Cambria" w:hAnsi="Cambria"/>
          <w:color w:val="000000" w:themeColor="text1"/>
          <w:sz w:val="20"/>
          <w:szCs w:val="20"/>
          <w:lang w:val="es-VE"/>
        </w:rPr>
        <w:t>violaciones</w:t>
      </w:r>
      <w:r w:rsidR="0032305C">
        <w:rPr>
          <w:rFonts w:ascii="Cambria" w:hAnsi="Cambria"/>
          <w:color w:val="000000" w:themeColor="text1"/>
          <w:sz w:val="20"/>
          <w:szCs w:val="20"/>
          <w:lang w:val="es-VE"/>
        </w:rPr>
        <w:t xml:space="preserve"> a diversos derechos protegidos </w:t>
      </w:r>
      <w:r w:rsidR="009754C7">
        <w:rPr>
          <w:rFonts w:ascii="Cambria" w:hAnsi="Cambria"/>
          <w:color w:val="000000" w:themeColor="text1"/>
          <w:sz w:val="20"/>
          <w:szCs w:val="20"/>
          <w:lang w:val="es-VE"/>
        </w:rPr>
        <w:t>por la Convención Americana.</w:t>
      </w:r>
    </w:p>
    <w:p w14:paraId="76C33A9C" w14:textId="77777777" w:rsidR="005C4CA5" w:rsidRDefault="005C4CA5" w:rsidP="009754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14:paraId="3AAC719A" w14:textId="77777777" w:rsidR="004E573F" w:rsidRPr="00E20B66" w:rsidRDefault="00FE0A84" w:rsidP="00E20B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El Estado</w:t>
      </w:r>
      <w:r w:rsidR="004E573F">
        <w:rPr>
          <w:rFonts w:ascii="Cambria" w:hAnsi="Cambria"/>
          <w:color w:val="000000" w:themeColor="text1"/>
          <w:sz w:val="20"/>
          <w:szCs w:val="20"/>
          <w:lang w:val="es-VE"/>
        </w:rPr>
        <w:t xml:space="preserve"> indicó que el proceso de evaluación de jueces y fiscales tiene como objetivo </w:t>
      </w:r>
      <w:r w:rsidR="0052313E">
        <w:rPr>
          <w:rFonts w:ascii="Cambria" w:hAnsi="Cambria"/>
          <w:color w:val="000000" w:themeColor="text1"/>
          <w:sz w:val="20"/>
          <w:szCs w:val="20"/>
          <w:lang w:val="es-VE"/>
        </w:rPr>
        <w:t>refo</w:t>
      </w:r>
      <w:r w:rsidR="00D55C32">
        <w:rPr>
          <w:rFonts w:ascii="Cambria" w:hAnsi="Cambria"/>
          <w:color w:val="000000" w:themeColor="text1"/>
          <w:sz w:val="20"/>
          <w:szCs w:val="20"/>
          <w:lang w:val="es-VE"/>
        </w:rPr>
        <w:t xml:space="preserve">rzar la independencia judicial </w:t>
      </w:r>
      <w:r w:rsidR="0052313E">
        <w:rPr>
          <w:rFonts w:ascii="Cambria" w:hAnsi="Cambria"/>
          <w:color w:val="000000" w:themeColor="text1"/>
          <w:sz w:val="20"/>
          <w:szCs w:val="20"/>
          <w:lang w:val="es-VE"/>
        </w:rPr>
        <w:t xml:space="preserve">a través de la evaluación de jueces y fiscales por un órgano autónomo como el Consejo Nacional de la Magistratura. </w:t>
      </w:r>
      <w:r w:rsidR="0058554F">
        <w:rPr>
          <w:rFonts w:ascii="Cambria" w:hAnsi="Cambria"/>
          <w:color w:val="000000" w:themeColor="text1"/>
          <w:sz w:val="20"/>
          <w:szCs w:val="20"/>
          <w:lang w:val="es-VE"/>
        </w:rPr>
        <w:t>El Estado reconoció la falta de motivación de las decisiones que cesaron de sus cargos a las presuntas víctimas, sin embargo</w:t>
      </w:r>
      <w:r w:rsidR="00992554">
        <w:rPr>
          <w:rFonts w:ascii="Cambria" w:hAnsi="Cambria"/>
          <w:color w:val="000000" w:themeColor="text1"/>
          <w:sz w:val="20"/>
          <w:szCs w:val="20"/>
          <w:lang w:val="es-VE"/>
        </w:rPr>
        <w:t>,</w:t>
      </w:r>
      <w:r w:rsidR="0058554F">
        <w:rPr>
          <w:rFonts w:ascii="Cambria" w:hAnsi="Cambria"/>
          <w:color w:val="000000" w:themeColor="text1"/>
          <w:sz w:val="20"/>
          <w:szCs w:val="20"/>
          <w:lang w:val="es-VE"/>
        </w:rPr>
        <w:t xml:space="preserve"> alegó que no violó el principio de legalidad, los derechos políticos</w:t>
      </w:r>
      <w:r w:rsidR="00E20B66">
        <w:rPr>
          <w:rFonts w:ascii="Cambria" w:hAnsi="Cambria"/>
          <w:color w:val="000000" w:themeColor="text1"/>
          <w:sz w:val="20"/>
          <w:szCs w:val="20"/>
          <w:lang w:val="es-VE"/>
        </w:rPr>
        <w:t>, el derecho a la protecci</w:t>
      </w:r>
      <w:r w:rsidR="00E20B66">
        <w:rPr>
          <w:rFonts w:ascii="Cambria" w:hAnsi="Cambria"/>
          <w:color w:val="000000" w:themeColor="text1"/>
          <w:sz w:val="20"/>
          <w:szCs w:val="20"/>
        </w:rPr>
        <w:t xml:space="preserve">ón judicial </w:t>
      </w:r>
      <w:r w:rsidR="000306BF">
        <w:rPr>
          <w:rFonts w:ascii="Cambria" w:hAnsi="Cambria"/>
          <w:color w:val="000000" w:themeColor="text1"/>
          <w:sz w:val="20"/>
          <w:szCs w:val="20"/>
          <w:lang w:val="es-VE"/>
        </w:rPr>
        <w:t>ni</w:t>
      </w:r>
      <w:r w:rsidR="0058554F">
        <w:rPr>
          <w:rFonts w:ascii="Cambria" w:hAnsi="Cambria"/>
          <w:color w:val="000000" w:themeColor="text1"/>
          <w:sz w:val="20"/>
          <w:szCs w:val="20"/>
          <w:lang w:val="es-VE"/>
        </w:rPr>
        <w:t xml:space="preserve"> el deber de adoptar disposiciones de derecho interno.</w:t>
      </w:r>
      <w:r w:rsidR="00E20B66">
        <w:rPr>
          <w:rFonts w:ascii="Cambria" w:hAnsi="Cambria"/>
          <w:color w:val="000000" w:themeColor="text1"/>
          <w:sz w:val="20"/>
          <w:szCs w:val="20"/>
          <w:lang w:val="es-VE"/>
        </w:rPr>
        <w:t xml:space="preserve"> </w:t>
      </w:r>
      <w:r w:rsidR="009F2846" w:rsidRPr="00E20B66">
        <w:rPr>
          <w:rFonts w:ascii="Cambria" w:hAnsi="Cambria"/>
          <w:color w:val="000000" w:themeColor="text1"/>
          <w:sz w:val="20"/>
          <w:szCs w:val="20"/>
          <w:lang w:val="es-VE"/>
        </w:rPr>
        <w:t>Indicó que si bien el marco normativo establecía la imposibilidad de impugnar las resoluciones del Consejo Nacional de la Magistratura en materia de evaluación y ratificación, el recurso de amparo se encontraba disponible.</w:t>
      </w:r>
    </w:p>
    <w:p w14:paraId="048EEF66" w14:textId="77777777" w:rsidR="003205EC" w:rsidRPr="009F2846" w:rsidRDefault="003205EC" w:rsidP="009F2846">
      <w:pPr>
        <w:rPr>
          <w:color w:val="000000" w:themeColor="text1"/>
          <w:sz w:val="20"/>
          <w:szCs w:val="20"/>
          <w:lang w:val="es-VE"/>
        </w:rPr>
      </w:pPr>
    </w:p>
    <w:p w14:paraId="7A82D658" w14:textId="77777777" w:rsidR="00A31EB3" w:rsidRPr="001E23F6" w:rsidRDefault="005C4CA5" w:rsidP="00A31E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814FA">
        <w:rPr>
          <w:rFonts w:ascii="Cambria" w:hAnsi="Cambria"/>
          <w:color w:val="000000" w:themeColor="text1"/>
          <w:sz w:val="20"/>
          <w:szCs w:val="20"/>
          <w:lang w:val="es-VE"/>
        </w:rPr>
        <w:t>Con base en las determinaciones de hecho y de derecho, la Comisión Interamericana concluyó que</w:t>
      </w:r>
      <w:r w:rsidR="00A814FA" w:rsidRPr="00A814FA">
        <w:rPr>
          <w:rFonts w:ascii="Cambria" w:hAnsi="Cambria"/>
          <w:color w:val="000000" w:themeColor="text1"/>
          <w:sz w:val="20"/>
          <w:szCs w:val="20"/>
          <w:lang w:val="es-VE"/>
        </w:rPr>
        <w:t xml:space="preserve"> </w:t>
      </w:r>
      <w:r w:rsidRPr="00A814FA">
        <w:rPr>
          <w:rFonts w:ascii="Cambria" w:hAnsi="Cambria"/>
          <w:color w:val="000000" w:themeColor="text1"/>
          <w:sz w:val="20"/>
          <w:szCs w:val="20"/>
          <w:lang w:val="es-VE"/>
        </w:rPr>
        <w:t xml:space="preserve">el Estado es responsable por la violación de los artículos </w:t>
      </w:r>
      <w:r w:rsidR="00F21A7B">
        <w:rPr>
          <w:rFonts w:ascii="Cambria" w:hAnsi="Cambria"/>
          <w:color w:val="000000" w:themeColor="text1"/>
          <w:sz w:val="20"/>
          <w:szCs w:val="20"/>
          <w:lang w:val="es-VE"/>
        </w:rPr>
        <w:t>8.1, 8.2 b), 8.2 c), 8.2 h)</w:t>
      </w:r>
      <w:r w:rsidR="00F21A7B" w:rsidRPr="00A814FA">
        <w:rPr>
          <w:rFonts w:ascii="Cambria" w:hAnsi="Cambria"/>
          <w:color w:val="000000" w:themeColor="text1"/>
          <w:sz w:val="20"/>
          <w:szCs w:val="20"/>
          <w:lang w:val="es-VE"/>
        </w:rPr>
        <w:t xml:space="preserve"> (</w:t>
      </w:r>
      <w:r w:rsidR="00F21A7B">
        <w:rPr>
          <w:rFonts w:ascii="Cambria" w:hAnsi="Cambria"/>
          <w:color w:val="000000" w:themeColor="text1"/>
          <w:sz w:val="20"/>
          <w:szCs w:val="20"/>
          <w:lang w:val="es-VE"/>
        </w:rPr>
        <w:t>garantías judiciales</w:t>
      </w:r>
      <w:r w:rsidR="00F21A7B" w:rsidRPr="00A814FA">
        <w:rPr>
          <w:rFonts w:ascii="Cambria" w:hAnsi="Cambria"/>
          <w:color w:val="000000" w:themeColor="text1"/>
          <w:sz w:val="20"/>
          <w:szCs w:val="20"/>
          <w:lang w:val="es-VE"/>
        </w:rPr>
        <w:t>)</w:t>
      </w:r>
      <w:r w:rsidR="00F21A7B">
        <w:rPr>
          <w:rFonts w:ascii="Cambria" w:hAnsi="Cambria"/>
          <w:color w:val="000000" w:themeColor="text1"/>
          <w:sz w:val="20"/>
          <w:szCs w:val="20"/>
          <w:lang w:val="es-VE"/>
        </w:rPr>
        <w:t xml:space="preserve">, 9 (principio de legalidad), </w:t>
      </w:r>
      <w:r w:rsidR="00CD2AAD">
        <w:rPr>
          <w:rFonts w:ascii="Cambria" w:hAnsi="Cambria"/>
          <w:color w:val="000000" w:themeColor="text1"/>
          <w:sz w:val="20"/>
          <w:szCs w:val="20"/>
          <w:lang w:val="es-VE"/>
        </w:rPr>
        <w:t xml:space="preserve">23.1 c) (derechos políticos) </w:t>
      </w:r>
      <w:r w:rsidR="00F21A7B">
        <w:rPr>
          <w:rFonts w:ascii="Cambria" w:hAnsi="Cambria"/>
          <w:color w:val="000000" w:themeColor="text1"/>
          <w:sz w:val="20"/>
          <w:szCs w:val="20"/>
          <w:lang w:val="es-VE"/>
        </w:rPr>
        <w:t>y 25.1 (protección judicial)</w:t>
      </w:r>
      <w:r w:rsidRPr="00A814FA">
        <w:rPr>
          <w:rFonts w:ascii="Cambria" w:hAnsi="Cambria"/>
          <w:color w:val="000000" w:themeColor="text1"/>
          <w:sz w:val="20"/>
          <w:szCs w:val="20"/>
          <w:lang w:val="es-VE"/>
        </w:rPr>
        <w:t xml:space="preserve"> de la Convención Americana sobre Derechos Humanos (en adelante</w:t>
      </w:r>
      <w:r w:rsidR="0032305C">
        <w:rPr>
          <w:rFonts w:ascii="Cambria" w:hAnsi="Cambria"/>
          <w:color w:val="000000" w:themeColor="text1"/>
          <w:sz w:val="20"/>
          <w:szCs w:val="20"/>
          <w:lang w:val="es-VE"/>
        </w:rPr>
        <w:t xml:space="preserve"> </w:t>
      </w:r>
      <w:r w:rsidRPr="00A814FA">
        <w:rPr>
          <w:rFonts w:ascii="Cambria" w:hAnsi="Cambria"/>
          <w:color w:val="000000" w:themeColor="text1"/>
          <w:sz w:val="20"/>
          <w:szCs w:val="20"/>
          <w:lang w:val="es-VE"/>
        </w:rPr>
        <w:t>“la Convención Americana”</w:t>
      </w:r>
      <w:r w:rsidR="0032305C">
        <w:rPr>
          <w:rFonts w:ascii="Cambria" w:hAnsi="Cambria"/>
          <w:color w:val="000000" w:themeColor="text1"/>
          <w:sz w:val="20"/>
          <w:szCs w:val="20"/>
          <w:lang w:val="es-VE"/>
        </w:rPr>
        <w:t xml:space="preserve"> </w:t>
      </w:r>
      <w:r w:rsidRPr="00A814FA">
        <w:rPr>
          <w:rFonts w:ascii="Cambria" w:hAnsi="Cambria"/>
          <w:color w:val="000000" w:themeColor="text1"/>
          <w:sz w:val="20"/>
          <w:szCs w:val="20"/>
          <w:lang w:val="es-VE"/>
        </w:rPr>
        <w:t xml:space="preserve">o “la Convención”), en relación con las </w:t>
      </w:r>
      <w:r w:rsidR="00D55C32">
        <w:rPr>
          <w:rFonts w:ascii="Cambria" w:hAnsi="Cambria"/>
          <w:color w:val="000000" w:themeColor="text1"/>
          <w:sz w:val="20"/>
          <w:szCs w:val="20"/>
          <w:lang w:val="es-VE"/>
        </w:rPr>
        <w:t xml:space="preserve">obligaciones establecidas en </w:t>
      </w:r>
      <w:r w:rsidRPr="00CD2AAD">
        <w:rPr>
          <w:rFonts w:ascii="Cambria" w:hAnsi="Cambria"/>
          <w:sz w:val="20"/>
          <w:szCs w:val="20"/>
          <w:lang w:val="es-VE"/>
        </w:rPr>
        <w:t>los artícul</w:t>
      </w:r>
      <w:r w:rsidR="00CD2AAD" w:rsidRPr="00CD2AAD">
        <w:rPr>
          <w:rFonts w:ascii="Cambria" w:hAnsi="Cambria"/>
          <w:sz w:val="20"/>
          <w:szCs w:val="20"/>
          <w:lang w:val="es-VE"/>
        </w:rPr>
        <w:t xml:space="preserve">os </w:t>
      </w:r>
      <w:r w:rsidRPr="00CD2AAD">
        <w:rPr>
          <w:rFonts w:ascii="Cambria" w:hAnsi="Cambria"/>
          <w:sz w:val="20"/>
          <w:szCs w:val="20"/>
          <w:lang w:val="es-VE"/>
        </w:rPr>
        <w:t>1.1</w:t>
      </w:r>
      <w:r w:rsidR="00CD2AAD" w:rsidRPr="00CD2AAD">
        <w:rPr>
          <w:rFonts w:ascii="Cambria" w:hAnsi="Cambria"/>
          <w:sz w:val="20"/>
          <w:szCs w:val="20"/>
          <w:lang w:val="es-VE"/>
        </w:rPr>
        <w:t xml:space="preserve"> y </w:t>
      </w:r>
      <w:r w:rsidRPr="00CD2AAD">
        <w:rPr>
          <w:rFonts w:ascii="Cambria" w:hAnsi="Cambria"/>
          <w:sz w:val="20"/>
          <w:szCs w:val="20"/>
          <w:lang w:val="es-VE"/>
        </w:rPr>
        <w:t xml:space="preserve">2 del mismo </w:t>
      </w:r>
      <w:r w:rsidRPr="00A814FA">
        <w:rPr>
          <w:rFonts w:ascii="Cambria" w:hAnsi="Cambria"/>
          <w:color w:val="000000" w:themeColor="text1"/>
          <w:sz w:val="20"/>
          <w:szCs w:val="20"/>
          <w:lang w:val="es-VE"/>
        </w:rPr>
        <w:t xml:space="preserve">instrumento. </w:t>
      </w:r>
      <w:r w:rsidRPr="00AC1705">
        <w:rPr>
          <w:rFonts w:asciiTheme="majorHAnsi" w:hAnsiTheme="majorHAnsi"/>
          <w:color w:val="000000" w:themeColor="text1"/>
          <w:sz w:val="20"/>
          <w:szCs w:val="20"/>
          <w:lang w:val="es-VE"/>
        </w:rPr>
        <w:t xml:space="preserve">La Comisión formuló las recomendaciones respectivas. </w:t>
      </w:r>
    </w:p>
    <w:p w14:paraId="0865FA50" w14:textId="77777777" w:rsidR="006B78B3" w:rsidRPr="00B00CAC" w:rsidRDefault="006B78B3" w:rsidP="00A31EB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4B408AC8" w14:textId="77777777" w:rsidR="001736A0" w:rsidRPr="00AC1705" w:rsidRDefault="001736A0" w:rsidP="001736A0">
      <w:pPr>
        <w:pStyle w:val="Heading1"/>
        <w:spacing w:before="0"/>
        <w:ind w:hanging="90"/>
        <w:rPr>
          <w:color w:val="auto"/>
          <w:sz w:val="20"/>
          <w:szCs w:val="20"/>
          <w:lang w:val="es-ES_tradnl"/>
        </w:rPr>
      </w:pPr>
      <w:bookmarkStart w:id="2" w:name="_Toc527450116"/>
      <w:r w:rsidRPr="00AC1705">
        <w:rPr>
          <w:color w:val="auto"/>
          <w:sz w:val="20"/>
          <w:szCs w:val="20"/>
          <w:lang w:val="es-ES_tradnl"/>
        </w:rPr>
        <w:t>ALEGATOS DE LAS PARTES</w:t>
      </w:r>
      <w:bookmarkEnd w:id="2"/>
    </w:p>
    <w:p w14:paraId="0618EB95" w14:textId="77777777" w:rsidR="001736A0" w:rsidRPr="00AC1705" w:rsidRDefault="001736A0" w:rsidP="001736A0">
      <w:pPr>
        <w:suppressAutoHyphens/>
        <w:rPr>
          <w:rFonts w:asciiTheme="majorHAnsi" w:hAnsiTheme="majorHAnsi"/>
          <w:sz w:val="20"/>
          <w:szCs w:val="20"/>
          <w:lang w:val="es-ES_tradnl"/>
        </w:rPr>
      </w:pPr>
    </w:p>
    <w:p w14:paraId="05126D34" w14:textId="77777777" w:rsidR="001736A0" w:rsidRPr="003018D0" w:rsidRDefault="001736A0" w:rsidP="003E17D7">
      <w:pPr>
        <w:pStyle w:val="Heading2"/>
        <w:numPr>
          <w:ilvl w:val="0"/>
          <w:numId w:val="56"/>
        </w:numPr>
        <w:spacing w:before="0" w:after="0"/>
        <w:ind w:hanging="90"/>
        <w:rPr>
          <w:rFonts w:asciiTheme="majorHAnsi" w:hAnsiTheme="majorHAnsi"/>
          <w:i w:val="0"/>
          <w:sz w:val="20"/>
          <w:szCs w:val="20"/>
          <w:lang w:val="es-ES_tradnl"/>
        </w:rPr>
      </w:pPr>
      <w:bookmarkStart w:id="3" w:name="_Toc527450117"/>
      <w:r>
        <w:rPr>
          <w:rFonts w:asciiTheme="majorHAnsi" w:hAnsiTheme="majorHAnsi"/>
          <w:i w:val="0"/>
          <w:sz w:val="20"/>
          <w:szCs w:val="20"/>
          <w:lang w:val="es-ES_tradnl"/>
        </w:rPr>
        <w:t>Parte peticionaria</w:t>
      </w:r>
      <w:bookmarkEnd w:id="3"/>
      <w:r>
        <w:rPr>
          <w:rFonts w:asciiTheme="majorHAnsi" w:hAnsiTheme="majorHAnsi"/>
          <w:i w:val="0"/>
          <w:sz w:val="20"/>
          <w:szCs w:val="20"/>
          <w:lang w:val="es-ES_tradnl"/>
        </w:rPr>
        <w:tab/>
      </w:r>
    </w:p>
    <w:p w14:paraId="2EF40E9A" w14:textId="77777777" w:rsidR="001736A0" w:rsidRPr="00AE42C3" w:rsidRDefault="001736A0" w:rsidP="001736A0">
      <w:pPr>
        <w:suppressAutoHyphens/>
        <w:rPr>
          <w:rFonts w:asciiTheme="majorHAnsi" w:hAnsiTheme="majorHAnsi"/>
          <w:sz w:val="20"/>
          <w:szCs w:val="20"/>
          <w:lang w:val="es-ES_tradnl"/>
        </w:rPr>
      </w:pPr>
    </w:p>
    <w:p w14:paraId="63E0F1F3" w14:textId="77777777" w:rsidR="001736A0" w:rsidRDefault="00591AFF"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ES_tradnl"/>
        </w:rPr>
        <w:t>I</w:t>
      </w:r>
      <w:r w:rsidR="001736A0">
        <w:rPr>
          <w:rFonts w:asciiTheme="majorHAnsi" w:hAnsiTheme="majorHAnsi"/>
          <w:sz w:val="20"/>
          <w:szCs w:val="20"/>
          <w:lang w:val="es-VE"/>
        </w:rPr>
        <w:t>ndicaron que se desempeñaban como jueces o fiscales en Perú y que a partir del año 2000 el Consejo Nac</w:t>
      </w:r>
      <w:r w:rsidR="00231909">
        <w:rPr>
          <w:rFonts w:asciiTheme="majorHAnsi" w:hAnsiTheme="majorHAnsi"/>
          <w:sz w:val="20"/>
          <w:szCs w:val="20"/>
          <w:lang w:val="es-VE"/>
        </w:rPr>
        <w:t xml:space="preserve">ional de la Magistratura </w:t>
      </w:r>
      <w:r w:rsidR="001736A0">
        <w:rPr>
          <w:rFonts w:asciiTheme="majorHAnsi" w:hAnsiTheme="majorHAnsi"/>
          <w:sz w:val="20"/>
          <w:szCs w:val="20"/>
          <w:lang w:val="es-VE"/>
        </w:rPr>
        <w:t>(</w:t>
      </w:r>
      <w:r w:rsidR="0058379E">
        <w:rPr>
          <w:rFonts w:asciiTheme="majorHAnsi" w:hAnsiTheme="majorHAnsi"/>
          <w:sz w:val="20"/>
          <w:szCs w:val="20"/>
          <w:lang w:val="es-VE"/>
        </w:rPr>
        <w:t xml:space="preserve">en adelante “el </w:t>
      </w:r>
      <w:r w:rsidR="001736A0">
        <w:rPr>
          <w:rFonts w:asciiTheme="majorHAnsi" w:hAnsiTheme="majorHAnsi"/>
          <w:sz w:val="20"/>
          <w:szCs w:val="20"/>
          <w:lang w:val="es-VE"/>
        </w:rPr>
        <w:t>CNM</w:t>
      </w:r>
      <w:r w:rsidR="0058379E">
        <w:rPr>
          <w:rFonts w:asciiTheme="majorHAnsi" w:hAnsiTheme="majorHAnsi"/>
          <w:sz w:val="20"/>
          <w:szCs w:val="20"/>
          <w:lang w:val="es-VE"/>
        </w:rPr>
        <w:t xml:space="preserve">” </w:t>
      </w:r>
      <w:r w:rsidR="001736A0">
        <w:rPr>
          <w:rFonts w:asciiTheme="majorHAnsi" w:hAnsiTheme="majorHAnsi"/>
          <w:sz w:val="20"/>
          <w:szCs w:val="20"/>
          <w:lang w:val="es-VE"/>
        </w:rPr>
        <w:t>en adelante) los sometió al proceso de evaluación y ratificación de jueces y fiscales, estipulado en el artículo 154, numeral 2 de la Constitución Política peruana y que debe realizarse cada 7 años, del cual resultó su no ratificación, así como la prohibición de reingresar al Poder Judicial y al Ministerio Público.</w:t>
      </w:r>
    </w:p>
    <w:p w14:paraId="47AEE679" w14:textId="77777777" w:rsidR="001736A0"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630"/>
        <w:jc w:val="both"/>
        <w:rPr>
          <w:rFonts w:asciiTheme="majorHAnsi" w:hAnsiTheme="majorHAnsi"/>
          <w:sz w:val="20"/>
          <w:szCs w:val="20"/>
          <w:lang w:val="es-VE"/>
        </w:rPr>
      </w:pPr>
    </w:p>
    <w:p w14:paraId="1BCC78B7" w14:textId="77777777" w:rsidR="001736A0" w:rsidRPr="001A7A4A" w:rsidRDefault="001736A0" w:rsidP="001A7A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sidRPr="00EE2A52">
        <w:rPr>
          <w:rFonts w:asciiTheme="majorHAnsi" w:hAnsiTheme="majorHAnsi"/>
          <w:b/>
          <w:sz w:val="20"/>
          <w:szCs w:val="20"/>
          <w:lang w:val="es-VE"/>
        </w:rPr>
        <w:t>Jorge Luis Cuya Lavy</w:t>
      </w:r>
      <w:r w:rsidRPr="00EE2A52">
        <w:rPr>
          <w:rFonts w:asciiTheme="majorHAnsi" w:hAnsiTheme="majorHAnsi"/>
          <w:sz w:val="20"/>
          <w:szCs w:val="20"/>
          <w:lang w:val="es-VE"/>
        </w:rPr>
        <w:t xml:space="preserve"> refirió que se desempeñó como Juez Especializado Civil Titular del Distrito Judicial de Lima a partir del año </w:t>
      </w:r>
      <w:r>
        <w:rPr>
          <w:rFonts w:asciiTheme="majorHAnsi" w:hAnsiTheme="majorHAnsi"/>
          <w:sz w:val="20"/>
          <w:szCs w:val="20"/>
          <w:lang w:val="es-VE"/>
        </w:rPr>
        <w:t xml:space="preserve">1994. Indicó que en el año 2001 fue convocado al proceso de evaluación y ratificación </w:t>
      </w:r>
      <w:r w:rsidR="0076522D">
        <w:rPr>
          <w:rFonts w:asciiTheme="majorHAnsi" w:hAnsiTheme="majorHAnsi"/>
          <w:sz w:val="20"/>
          <w:szCs w:val="20"/>
          <w:lang w:val="es-VE"/>
        </w:rPr>
        <w:t>de jueces, en el marco del cual</w:t>
      </w:r>
      <w:r>
        <w:rPr>
          <w:rFonts w:asciiTheme="majorHAnsi" w:hAnsiTheme="majorHAnsi"/>
          <w:sz w:val="20"/>
          <w:szCs w:val="20"/>
          <w:lang w:val="es-VE"/>
        </w:rPr>
        <w:t xml:space="preserve"> se presentó a una </w:t>
      </w:r>
      <w:r w:rsidRPr="009754C7">
        <w:rPr>
          <w:rFonts w:asciiTheme="majorHAnsi" w:hAnsiTheme="majorHAnsi"/>
          <w:sz w:val="20"/>
          <w:szCs w:val="20"/>
          <w:lang w:val="es-VE"/>
        </w:rPr>
        <w:t xml:space="preserve">entrevista personal ante </w:t>
      </w:r>
      <w:r w:rsidR="0076522D" w:rsidRPr="009754C7">
        <w:rPr>
          <w:rFonts w:asciiTheme="majorHAnsi" w:hAnsiTheme="majorHAnsi"/>
          <w:sz w:val="20"/>
          <w:szCs w:val="20"/>
          <w:lang w:val="es-VE"/>
        </w:rPr>
        <w:t xml:space="preserve">el </w:t>
      </w:r>
      <w:r w:rsidR="00F63136" w:rsidRPr="009754C7">
        <w:rPr>
          <w:rFonts w:asciiTheme="majorHAnsi" w:hAnsiTheme="majorHAnsi"/>
          <w:sz w:val="20"/>
          <w:szCs w:val="20"/>
          <w:lang w:val="es-VE"/>
        </w:rPr>
        <w:t>C</w:t>
      </w:r>
      <w:r w:rsidR="00F14610">
        <w:rPr>
          <w:rFonts w:asciiTheme="majorHAnsi" w:hAnsiTheme="majorHAnsi"/>
          <w:sz w:val="20"/>
          <w:szCs w:val="20"/>
          <w:lang w:val="es-VE"/>
        </w:rPr>
        <w:t>NM</w:t>
      </w:r>
      <w:r w:rsidRPr="009754C7">
        <w:rPr>
          <w:rFonts w:asciiTheme="majorHAnsi" w:hAnsiTheme="majorHAnsi"/>
          <w:sz w:val="20"/>
          <w:szCs w:val="20"/>
          <w:lang w:val="es-VE"/>
        </w:rPr>
        <w:t xml:space="preserve"> dond</w:t>
      </w:r>
      <w:r>
        <w:rPr>
          <w:rFonts w:asciiTheme="majorHAnsi" w:hAnsiTheme="majorHAnsi"/>
          <w:sz w:val="20"/>
          <w:szCs w:val="20"/>
          <w:lang w:val="es-VE"/>
        </w:rPr>
        <w:t xml:space="preserve">e se le hicieron preguntas no relacionadas con su desempeño laboral sino con cuestiones sentimentales, familiares, preferencias sexuales y </w:t>
      </w:r>
      <w:r w:rsidR="00231909">
        <w:rPr>
          <w:rFonts w:asciiTheme="majorHAnsi" w:hAnsiTheme="majorHAnsi"/>
          <w:sz w:val="20"/>
          <w:szCs w:val="20"/>
          <w:lang w:val="es-VE"/>
        </w:rPr>
        <w:t>pasatiempos</w:t>
      </w:r>
      <w:r>
        <w:rPr>
          <w:rFonts w:asciiTheme="majorHAnsi" w:hAnsiTheme="majorHAnsi"/>
          <w:sz w:val="20"/>
          <w:szCs w:val="20"/>
          <w:lang w:val="es-VE"/>
        </w:rPr>
        <w:t>.</w:t>
      </w:r>
      <w:r w:rsidR="00907C27">
        <w:rPr>
          <w:rFonts w:asciiTheme="majorHAnsi" w:hAnsiTheme="majorHAnsi"/>
          <w:sz w:val="20"/>
          <w:szCs w:val="20"/>
          <w:lang w:val="es-VE"/>
        </w:rPr>
        <w:t xml:space="preserve"> </w:t>
      </w:r>
      <w:r>
        <w:rPr>
          <w:rFonts w:asciiTheme="majorHAnsi" w:hAnsiTheme="majorHAnsi"/>
          <w:sz w:val="20"/>
          <w:szCs w:val="20"/>
          <w:lang w:val="es-VE"/>
        </w:rPr>
        <w:t xml:space="preserve">Refirió que mediante resolución inmotivada </w:t>
      </w:r>
      <w:r w:rsidR="00434723">
        <w:rPr>
          <w:rFonts w:asciiTheme="majorHAnsi" w:hAnsiTheme="majorHAnsi"/>
          <w:sz w:val="20"/>
          <w:szCs w:val="20"/>
          <w:lang w:val="es-VE"/>
        </w:rPr>
        <w:t xml:space="preserve">de </w:t>
      </w:r>
      <w:r w:rsidR="00887712" w:rsidRPr="009754C7">
        <w:rPr>
          <w:rFonts w:asciiTheme="majorHAnsi" w:hAnsiTheme="majorHAnsi"/>
          <w:sz w:val="20"/>
          <w:szCs w:val="20"/>
          <w:lang w:val="es-VE"/>
        </w:rPr>
        <w:t>20 de noviembre de 2002</w:t>
      </w:r>
      <w:r w:rsidRPr="009754C7">
        <w:rPr>
          <w:rFonts w:asciiTheme="majorHAnsi" w:hAnsiTheme="majorHAnsi"/>
          <w:sz w:val="20"/>
          <w:szCs w:val="20"/>
          <w:lang w:val="es-VE"/>
        </w:rPr>
        <w:t>,</w:t>
      </w:r>
      <w:r w:rsidR="00434723">
        <w:rPr>
          <w:rFonts w:asciiTheme="majorHAnsi" w:hAnsiTheme="majorHAnsi"/>
          <w:sz w:val="20"/>
          <w:szCs w:val="20"/>
          <w:lang w:val="es-VE"/>
        </w:rPr>
        <w:t xml:space="preserve"> </w:t>
      </w:r>
      <w:r w:rsidRPr="00887712">
        <w:rPr>
          <w:rFonts w:asciiTheme="majorHAnsi" w:hAnsiTheme="majorHAnsi"/>
          <w:sz w:val="20"/>
          <w:szCs w:val="20"/>
          <w:lang w:val="es-VE"/>
        </w:rPr>
        <w:t xml:space="preserve">se dejó sin efecto su nombramiento y se canceló su título de juez, además se le prohibió reingresar al Poder Judicial y al Ministerio Público. </w:t>
      </w:r>
      <w:r w:rsidR="00887712" w:rsidRPr="009754C7">
        <w:rPr>
          <w:rFonts w:asciiTheme="majorHAnsi" w:hAnsiTheme="majorHAnsi"/>
          <w:sz w:val="20"/>
          <w:szCs w:val="20"/>
          <w:lang w:val="es-VE"/>
        </w:rPr>
        <w:t xml:space="preserve">Indicó que </w:t>
      </w:r>
      <w:r w:rsidR="00656212" w:rsidRPr="009754C7">
        <w:rPr>
          <w:rFonts w:asciiTheme="majorHAnsi" w:hAnsiTheme="majorHAnsi"/>
          <w:sz w:val="20"/>
          <w:szCs w:val="20"/>
          <w:lang w:val="es-VE"/>
        </w:rPr>
        <w:t>todo el procedimiento de evaluación y ratificación</w:t>
      </w:r>
      <w:r w:rsidR="009754C7" w:rsidRPr="009754C7">
        <w:rPr>
          <w:rFonts w:asciiTheme="majorHAnsi" w:hAnsiTheme="majorHAnsi"/>
          <w:sz w:val="20"/>
          <w:szCs w:val="20"/>
          <w:lang w:val="es-VE"/>
        </w:rPr>
        <w:t xml:space="preserve"> era secreto</w:t>
      </w:r>
      <w:r w:rsidR="00887712" w:rsidRPr="009754C7">
        <w:rPr>
          <w:rFonts w:asciiTheme="majorHAnsi" w:hAnsiTheme="majorHAnsi"/>
          <w:sz w:val="20"/>
          <w:szCs w:val="20"/>
          <w:lang w:val="es-VE"/>
        </w:rPr>
        <w:t>.</w:t>
      </w:r>
      <w:r w:rsidR="001A7A4A">
        <w:rPr>
          <w:rFonts w:asciiTheme="majorHAnsi" w:hAnsiTheme="majorHAnsi"/>
          <w:sz w:val="20"/>
          <w:szCs w:val="20"/>
          <w:lang w:val="es-VE"/>
        </w:rPr>
        <w:t xml:space="preserve"> </w:t>
      </w:r>
      <w:r w:rsidRPr="001A7A4A">
        <w:rPr>
          <w:rFonts w:asciiTheme="majorHAnsi" w:hAnsiTheme="majorHAnsi"/>
          <w:sz w:val="20"/>
          <w:szCs w:val="20"/>
          <w:lang w:val="es-VE"/>
        </w:rPr>
        <w:t>Expresó que el proceso de evaluación y ratificación se realizó dentro de un contexto</w:t>
      </w:r>
      <w:r w:rsidRPr="001A7A4A">
        <w:rPr>
          <w:rFonts w:ascii="Cambria" w:hAnsi="Cambria"/>
          <w:sz w:val="20"/>
          <w:szCs w:val="20"/>
          <w:lang w:val="es-VE"/>
        </w:rPr>
        <w:t xml:space="preserve"> de transición del régimen dictatorial del </w:t>
      </w:r>
      <w:r w:rsidR="00176BD0">
        <w:rPr>
          <w:rFonts w:ascii="Cambria" w:hAnsi="Cambria"/>
          <w:sz w:val="20"/>
          <w:szCs w:val="20"/>
          <w:lang w:val="es-VE"/>
        </w:rPr>
        <w:t>e</w:t>
      </w:r>
      <w:r w:rsidRPr="001A7A4A">
        <w:rPr>
          <w:rFonts w:ascii="Cambria" w:hAnsi="Cambria"/>
          <w:sz w:val="20"/>
          <w:szCs w:val="20"/>
          <w:lang w:val="es-VE"/>
        </w:rPr>
        <w:t xml:space="preserve">x </w:t>
      </w:r>
      <w:r w:rsidR="00176BD0">
        <w:rPr>
          <w:rFonts w:ascii="Cambria" w:hAnsi="Cambria"/>
          <w:sz w:val="20"/>
          <w:szCs w:val="20"/>
          <w:lang w:val="es-VE"/>
        </w:rPr>
        <w:t>p</w:t>
      </w:r>
      <w:r w:rsidRPr="001A7A4A">
        <w:rPr>
          <w:rFonts w:ascii="Cambria" w:hAnsi="Cambria"/>
          <w:sz w:val="20"/>
          <w:szCs w:val="20"/>
          <w:lang w:val="es-VE"/>
        </w:rPr>
        <w:t>residente Alberto Fujimori</w:t>
      </w:r>
      <w:r w:rsidR="00662AC3">
        <w:rPr>
          <w:rFonts w:ascii="Cambria" w:hAnsi="Cambria"/>
          <w:sz w:val="20"/>
          <w:szCs w:val="20"/>
          <w:lang w:val="es-VE"/>
        </w:rPr>
        <w:t xml:space="preserve"> con </w:t>
      </w:r>
      <w:r w:rsidRPr="001A7A4A">
        <w:rPr>
          <w:rFonts w:ascii="Cambria" w:hAnsi="Cambria"/>
          <w:sz w:val="20"/>
          <w:szCs w:val="20"/>
          <w:lang w:val="es-VE"/>
        </w:rPr>
        <w:t xml:space="preserve">control directo del Poder Ejecutivo </w:t>
      </w:r>
      <w:r w:rsidR="000467CB" w:rsidRPr="001A7A4A">
        <w:rPr>
          <w:rFonts w:ascii="Cambria" w:hAnsi="Cambria"/>
          <w:sz w:val="20"/>
          <w:szCs w:val="20"/>
          <w:lang w:val="es-VE"/>
        </w:rPr>
        <w:t>sobre el</w:t>
      </w:r>
      <w:r w:rsidRPr="001A7A4A">
        <w:rPr>
          <w:rFonts w:ascii="Cambria" w:hAnsi="Cambria"/>
          <w:sz w:val="20"/>
          <w:szCs w:val="20"/>
          <w:lang w:val="es-VE"/>
        </w:rPr>
        <w:t xml:space="preserve"> CNM. </w:t>
      </w:r>
    </w:p>
    <w:p w14:paraId="0E3FC645" w14:textId="77777777" w:rsidR="001736A0" w:rsidRPr="00E34D33" w:rsidRDefault="001736A0" w:rsidP="001736A0">
      <w:pPr>
        <w:rPr>
          <w:rFonts w:asciiTheme="majorHAnsi" w:hAnsiTheme="majorHAnsi"/>
          <w:sz w:val="20"/>
          <w:szCs w:val="20"/>
          <w:lang w:val="es-VE"/>
        </w:rPr>
      </w:pPr>
    </w:p>
    <w:p w14:paraId="3FA60AFA" w14:textId="77777777" w:rsidR="001736A0" w:rsidRPr="009754C7"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 xml:space="preserve">Por su parte </w:t>
      </w:r>
      <w:r w:rsidRPr="00697DBC">
        <w:rPr>
          <w:rFonts w:asciiTheme="majorHAnsi" w:hAnsiTheme="majorHAnsi"/>
          <w:b/>
          <w:sz w:val="20"/>
          <w:szCs w:val="20"/>
          <w:lang w:val="es-VE"/>
        </w:rPr>
        <w:t xml:space="preserve">Jean Aubert </w:t>
      </w:r>
      <w:r w:rsidRPr="009754C7">
        <w:rPr>
          <w:rFonts w:asciiTheme="majorHAnsi" w:hAnsiTheme="majorHAnsi"/>
          <w:b/>
          <w:sz w:val="20"/>
          <w:szCs w:val="20"/>
          <w:lang w:val="es-VE"/>
        </w:rPr>
        <w:t>Díaz Alvarado y Marta Silvana Rodriguez Ricse</w:t>
      </w:r>
      <w:r w:rsidRPr="009754C7">
        <w:rPr>
          <w:rFonts w:asciiTheme="majorHAnsi" w:hAnsiTheme="majorHAnsi"/>
          <w:sz w:val="20"/>
          <w:szCs w:val="20"/>
          <w:lang w:val="es-VE"/>
        </w:rPr>
        <w:t xml:space="preserve"> refirieron que se desem</w:t>
      </w:r>
      <w:r w:rsidR="00907C27">
        <w:rPr>
          <w:rFonts w:asciiTheme="majorHAnsi" w:hAnsiTheme="majorHAnsi"/>
          <w:sz w:val="20"/>
          <w:szCs w:val="20"/>
          <w:lang w:val="es-VE"/>
        </w:rPr>
        <w:t xml:space="preserve">peñaban como fiscales en Perú. </w:t>
      </w:r>
      <w:r w:rsidRPr="009754C7">
        <w:rPr>
          <w:rFonts w:asciiTheme="majorHAnsi" w:hAnsiTheme="majorHAnsi"/>
          <w:sz w:val="20"/>
          <w:szCs w:val="20"/>
          <w:lang w:val="es-VE"/>
        </w:rPr>
        <w:t>El señor Díaz Alvarado indicó que en 1989 ingresó al Poder Judicial como Fiscal Provincial Adjunto en lo Penal en calidad de Titular en la Provincia de Hu</w:t>
      </w:r>
      <w:r w:rsidR="00B6761B">
        <w:rPr>
          <w:rFonts w:asciiTheme="majorHAnsi" w:hAnsiTheme="majorHAnsi"/>
          <w:sz w:val="20"/>
          <w:szCs w:val="20"/>
          <w:lang w:val="es-VE"/>
        </w:rPr>
        <w:t xml:space="preserve">ancayo, Departamento de Junín. </w:t>
      </w:r>
      <w:r w:rsidRPr="009754C7">
        <w:rPr>
          <w:rFonts w:asciiTheme="majorHAnsi" w:hAnsiTheme="majorHAnsi"/>
          <w:sz w:val="20"/>
          <w:szCs w:val="20"/>
          <w:lang w:val="es-VE"/>
        </w:rPr>
        <w:t>Refirió q</w:t>
      </w:r>
      <w:r w:rsidR="00F63136" w:rsidRPr="009754C7">
        <w:rPr>
          <w:rFonts w:asciiTheme="majorHAnsi" w:hAnsiTheme="majorHAnsi"/>
          <w:sz w:val="20"/>
          <w:szCs w:val="20"/>
          <w:lang w:val="es-VE"/>
        </w:rPr>
        <w:t xml:space="preserve">ue </w:t>
      </w:r>
      <w:r w:rsidRPr="009754C7">
        <w:rPr>
          <w:rFonts w:asciiTheme="majorHAnsi" w:hAnsiTheme="majorHAnsi"/>
          <w:sz w:val="20"/>
          <w:szCs w:val="20"/>
          <w:lang w:val="es-VE"/>
        </w:rPr>
        <w:t>fue convocado a una entrevista ante el Consejo Nacional de la Magistratura. Indicó que</w:t>
      </w:r>
      <w:r w:rsidR="00656212" w:rsidRPr="009754C7">
        <w:rPr>
          <w:rFonts w:asciiTheme="majorHAnsi" w:hAnsiTheme="majorHAnsi"/>
          <w:sz w:val="20"/>
          <w:szCs w:val="20"/>
          <w:lang w:val="es-VE"/>
        </w:rPr>
        <w:t xml:space="preserve"> en dicha entrevista no se le imputó cargo alguno, </w:t>
      </w:r>
      <w:r w:rsidR="00231909">
        <w:rPr>
          <w:rFonts w:asciiTheme="majorHAnsi" w:hAnsiTheme="majorHAnsi"/>
          <w:sz w:val="20"/>
          <w:szCs w:val="20"/>
          <w:lang w:val="es-VE"/>
        </w:rPr>
        <w:t>sin embargo</w:t>
      </w:r>
      <w:r w:rsidR="00656212" w:rsidRPr="009754C7">
        <w:rPr>
          <w:rFonts w:asciiTheme="majorHAnsi" w:hAnsiTheme="majorHAnsi"/>
          <w:sz w:val="20"/>
          <w:szCs w:val="20"/>
          <w:lang w:val="es-VE"/>
        </w:rPr>
        <w:t xml:space="preserve"> un Consejero le cuestionó sobre la denuncia penal que presentó el peticionario en contra del Ex Decano del Colegio de Abogados de Jun</w:t>
      </w:r>
      <w:r w:rsidR="00240E5D" w:rsidRPr="009754C7">
        <w:rPr>
          <w:rFonts w:asciiTheme="majorHAnsi" w:hAnsiTheme="majorHAnsi"/>
          <w:sz w:val="20"/>
          <w:szCs w:val="20"/>
          <w:lang w:val="es-VE"/>
        </w:rPr>
        <w:t>í</w:t>
      </w:r>
      <w:r w:rsidR="009278B2">
        <w:rPr>
          <w:rFonts w:asciiTheme="majorHAnsi" w:hAnsiTheme="majorHAnsi"/>
          <w:sz w:val="20"/>
          <w:szCs w:val="20"/>
          <w:lang w:val="es-VE"/>
        </w:rPr>
        <w:t xml:space="preserve">n. </w:t>
      </w:r>
      <w:r w:rsidR="00656212" w:rsidRPr="009754C7">
        <w:rPr>
          <w:rFonts w:asciiTheme="majorHAnsi" w:hAnsiTheme="majorHAnsi"/>
          <w:sz w:val="20"/>
          <w:szCs w:val="20"/>
          <w:lang w:val="es-VE"/>
        </w:rPr>
        <w:t>Indicó que</w:t>
      </w:r>
      <w:r w:rsidRPr="009754C7">
        <w:rPr>
          <w:rFonts w:asciiTheme="majorHAnsi" w:hAnsiTheme="majorHAnsi"/>
          <w:sz w:val="20"/>
          <w:szCs w:val="20"/>
          <w:lang w:val="es-VE"/>
        </w:rPr>
        <w:t xml:space="preserve"> mediante </w:t>
      </w:r>
      <w:r w:rsidR="00434723">
        <w:rPr>
          <w:rFonts w:asciiTheme="majorHAnsi" w:hAnsiTheme="majorHAnsi"/>
          <w:sz w:val="20"/>
          <w:szCs w:val="20"/>
          <w:lang w:val="es-VE"/>
        </w:rPr>
        <w:t xml:space="preserve">resolución de </w:t>
      </w:r>
      <w:r w:rsidR="004525B3" w:rsidRPr="009754C7">
        <w:rPr>
          <w:rFonts w:asciiTheme="majorHAnsi" w:hAnsiTheme="majorHAnsi"/>
          <w:sz w:val="20"/>
          <w:szCs w:val="20"/>
          <w:lang w:val="es-VE"/>
        </w:rPr>
        <w:t>13 de julio de 2001</w:t>
      </w:r>
      <w:r w:rsidRPr="009754C7">
        <w:rPr>
          <w:rFonts w:asciiTheme="majorHAnsi" w:hAnsiTheme="majorHAnsi"/>
          <w:sz w:val="20"/>
          <w:szCs w:val="20"/>
          <w:lang w:val="es-VE"/>
        </w:rPr>
        <w:t xml:space="preserve"> se dejó sin efecto su nombramiento y se canceló su títu</w:t>
      </w:r>
      <w:r w:rsidR="00B6761B">
        <w:rPr>
          <w:rFonts w:asciiTheme="majorHAnsi" w:hAnsiTheme="majorHAnsi"/>
          <w:sz w:val="20"/>
          <w:szCs w:val="20"/>
          <w:lang w:val="es-VE"/>
        </w:rPr>
        <w:t xml:space="preserve">lo como Fiscal, cuando ejercía </w:t>
      </w:r>
      <w:r w:rsidRPr="009754C7">
        <w:rPr>
          <w:rFonts w:asciiTheme="majorHAnsi" w:hAnsiTheme="majorHAnsi"/>
          <w:sz w:val="20"/>
          <w:szCs w:val="20"/>
          <w:lang w:val="es-VE"/>
        </w:rPr>
        <w:t>el puesto de Fiscal Provincial de Delitos Agra</w:t>
      </w:r>
      <w:r w:rsidR="0079668B" w:rsidRPr="009754C7">
        <w:rPr>
          <w:rFonts w:asciiTheme="majorHAnsi" w:hAnsiTheme="majorHAnsi"/>
          <w:sz w:val="20"/>
          <w:szCs w:val="20"/>
          <w:lang w:val="es-VE"/>
        </w:rPr>
        <w:t>vados y Contrabando en Huancayo</w:t>
      </w:r>
      <w:r w:rsidRPr="009754C7">
        <w:rPr>
          <w:rFonts w:asciiTheme="majorHAnsi" w:hAnsiTheme="majorHAnsi"/>
          <w:sz w:val="20"/>
          <w:szCs w:val="20"/>
          <w:lang w:val="es-VE"/>
        </w:rPr>
        <w:t>.</w:t>
      </w:r>
    </w:p>
    <w:p w14:paraId="5FFFDE5A" w14:textId="77777777" w:rsidR="001736A0" w:rsidRPr="00AE42C3" w:rsidRDefault="001736A0" w:rsidP="001736A0">
      <w:pPr>
        <w:pStyle w:val="ListParagraph"/>
        <w:rPr>
          <w:rFonts w:asciiTheme="majorHAnsi" w:hAnsiTheme="majorHAnsi"/>
          <w:color w:val="auto"/>
          <w:sz w:val="20"/>
          <w:szCs w:val="20"/>
          <w:lang w:val="es-VE"/>
        </w:rPr>
      </w:pPr>
    </w:p>
    <w:p w14:paraId="7602121C" w14:textId="77777777" w:rsidR="001736A0" w:rsidRPr="009754C7"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sidRPr="00AE42C3">
        <w:rPr>
          <w:rFonts w:asciiTheme="majorHAnsi" w:hAnsiTheme="majorHAnsi"/>
          <w:sz w:val="20"/>
          <w:szCs w:val="20"/>
          <w:lang w:val="es-VE"/>
        </w:rPr>
        <w:t xml:space="preserve">Por su parte, </w:t>
      </w:r>
      <w:r w:rsidRPr="009754C7">
        <w:rPr>
          <w:rFonts w:asciiTheme="majorHAnsi" w:hAnsiTheme="majorHAnsi"/>
          <w:sz w:val="20"/>
          <w:szCs w:val="20"/>
          <w:lang w:val="es-VE"/>
        </w:rPr>
        <w:t>la señora Rodríguez Ricse informó que ingresó al Ministerio Público como Técnico en Abogacía II e</w:t>
      </w:r>
      <w:r w:rsidR="00434723">
        <w:rPr>
          <w:rFonts w:asciiTheme="majorHAnsi" w:hAnsiTheme="majorHAnsi"/>
          <w:sz w:val="20"/>
          <w:szCs w:val="20"/>
          <w:lang w:val="es-VE"/>
        </w:rPr>
        <w:t>l</w:t>
      </w:r>
      <w:r w:rsidRPr="009754C7">
        <w:rPr>
          <w:rFonts w:asciiTheme="majorHAnsi" w:hAnsiTheme="majorHAnsi"/>
          <w:sz w:val="20"/>
          <w:szCs w:val="20"/>
          <w:lang w:val="es-VE"/>
        </w:rPr>
        <w:t xml:space="preserve"> </w:t>
      </w:r>
      <w:r w:rsidR="004525B3" w:rsidRPr="009754C7">
        <w:rPr>
          <w:rFonts w:asciiTheme="majorHAnsi" w:hAnsiTheme="majorHAnsi"/>
          <w:sz w:val="20"/>
          <w:szCs w:val="20"/>
          <w:lang w:val="es-VE"/>
        </w:rPr>
        <w:t>31 de marzo de 1982</w:t>
      </w:r>
      <w:r w:rsidRPr="009754C7">
        <w:rPr>
          <w:rFonts w:asciiTheme="majorHAnsi" w:hAnsiTheme="majorHAnsi"/>
          <w:sz w:val="20"/>
          <w:szCs w:val="20"/>
          <w:lang w:val="es-VE"/>
        </w:rPr>
        <w:t>, para posteriormente ser nombrada como Fiscal Adjunta Provincial Provisional de Yauli</w:t>
      </w:r>
      <w:r w:rsidR="00917F7D" w:rsidRPr="009754C7">
        <w:rPr>
          <w:rFonts w:asciiTheme="majorHAnsi" w:hAnsiTheme="majorHAnsi"/>
          <w:sz w:val="20"/>
          <w:szCs w:val="20"/>
          <w:lang w:val="es-VE"/>
        </w:rPr>
        <w:t xml:space="preserve"> </w:t>
      </w:r>
      <w:r w:rsidR="00434723">
        <w:rPr>
          <w:rFonts w:asciiTheme="majorHAnsi" w:hAnsiTheme="majorHAnsi"/>
          <w:sz w:val="20"/>
          <w:szCs w:val="20"/>
          <w:lang w:val="es-VE"/>
        </w:rPr>
        <w:t>el</w:t>
      </w:r>
      <w:r w:rsidR="00917F7D" w:rsidRPr="009754C7">
        <w:rPr>
          <w:rFonts w:asciiTheme="majorHAnsi" w:hAnsiTheme="majorHAnsi"/>
          <w:sz w:val="20"/>
          <w:szCs w:val="20"/>
          <w:lang w:val="es-VE"/>
        </w:rPr>
        <w:t xml:space="preserve"> 7 de marzo de 1984</w:t>
      </w:r>
      <w:r w:rsidRPr="009754C7">
        <w:rPr>
          <w:rFonts w:asciiTheme="majorHAnsi" w:hAnsiTheme="majorHAnsi"/>
          <w:sz w:val="20"/>
          <w:szCs w:val="20"/>
          <w:lang w:val="es-VE"/>
        </w:rPr>
        <w:t xml:space="preserve">. </w:t>
      </w:r>
      <w:r w:rsidR="00503E0C" w:rsidRPr="009754C7">
        <w:rPr>
          <w:rFonts w:asciiTheme="majorHAnsi" w:hAnsiTheme="majorHAnsi"/>
          <w:sz w:val="20"/>
          <w:szCs w:val="20"/>
          <w:lang w:val="es-VE"/>
        </w:rPr>
        <w:t xml:space="preserve">Indicó que en ningún momento </w:t>
      </w:r>
      <w:r w:rsidR="00B6761B">
        <w:rPr>
          <w:rFonts w:asciiTheme="majorHAnsi" w:hAnsiTheme="majorHAnsi"/>
          <w:sz w:val="20"/>
          <w:szCs w:val="20"/>
          <w:lang w:val="es-VE"/>
        </w:rPr>
        <w:t xml:space="preserve">fue </w:t>
      </w:r>
      <w:r w:rsidRPr="009754C7">
        <w:rPr>
          <w:rFonts w:asciiTheme="majorHAnsi" w:hAnsiTheme="majorHAnsi"/>
          <w:sz w:val="20"/>
          <w:szCs w:val="20"/>
          <w:lang w:val="es-VE"/>
        </w:rPr>
        <w:t>convocada a una entrevista ante el Conse</w:t>
      </w:r>
      <w:r w:rsidR="00503E0C" w:rsidRPr="009754C7">
        <w:rPr>
          <w:rFonts w:asciiTheme="majorHAnsi" w:hAnsiTheme="majorHAnsi"/>
          <w:sz w:val="20"/>
          <w:szCs w:val="20"/>
          <w:lang w:val="es-VE"/>
        </w:rPr>
        <w:t>jo Nacional de la Magistratura, sin embargo,</w:t>
      </w:r>
      <w:r w:rsidRPr="009754C7">
        <w:rPr>
          <w:rFonts w:asciiTheme="majorHAnsi" w:hAnsiTheme="majorHAnsi"/>
          <w:sz w:val="20"/>
          <w:szCs w:val="20"/>
          <w:lang w:val="es-VE"/>
        </w:rPr>
        <w:t xml:space="preserve"> mediante resoluc</w:t>
      </w:r>
      <w:r w:rsidR="00434723">
        <w:rPr>
          <w:rFonts w:asciiTheme="majorHAnsi" w:hAnsiTheme="majorHAnsi"/>
          <w:sz w:val="20"/>
          <w:szCs w:val="20"/>
          <w:lang w:val="es-VE"/>
        </w:rPr>
        <w:t>ión de</w:t>
      </w:r>
      <w:r w:rsidRPr="009754C7">
        <w:rPr>
          <w:rFonts w:asciiTheme="majorHAnsi" w:hAnsiTheme="majorHAnsi"/>
          <w:sz w:val="20"/>
          <w:szCs w:val="20"/>
          <w:lang w:val="es-VE"/>
        </w:rPr>
        <w:t xml:space="preserve"> </w:t>
      </w:r>
      <w:r w:rsidR="004525B3" w:rsidRPr="009754C7">
        <w:rPr>
          <w:rFonts w:asciiTheme="majorHAnsi" w:hAnsiTheme="majorHAnsi"/>
          <w:sz w:val="20"/>
          <w:szCs w:val="20"/>
          <w:lang w:val="es-VE"/>
        </w:rPr>
        <w:t>13 de julio de 2001</w:t>
      </w:r>
      <w:r w:rsidRPr="009754C7">
        <w:rPr>
          <w:rFonts w:asciiTheme="majorHAnsi" w:hAnsiTheme="majorHAnsi"/>
          <w:sz w:val="20"/>
          <w:szCs w:val="20"/>
          <w:lang w:val="es-VE"/>
        </w:rPr>
        <w:t>, se d</w:t>
      </w:r>
      <w:r w:rsidR="00B6761B">
        <w:rPr>
          <w:rFonts w:asciiTheme="majorHAnsi" w:hAnsiTheme="majorHAnsi"/>
          <w:sz w:val="20"/>
          <w:szCs w:val="20"/>
          <w:lang w:val="es-VE"/>
        </w:rPr>
        <w:t xml:space="preserve">ejó sin efecto su nombramiento </w:t>
      </w:r>
      <w:r w:rsidRPr="009754C7">
        <w:rPr>
          <w:rFonts w:asciiTheme="majorHAnsi" w:hAnsiTheme="majorHAnsi"/>
          <w:sz w:val="20"/>
          <w:szCs w:val="20"/>
          <w:lang w:val="es-VE"/>
        </w:rPr>
        <w:t>y se canceló su título de Fiscal cuando ejercía el puesto de Fiscal Provincial Provisional de la Te</w:t>
      </w:r>
      <w:r w:rsidR="00503E0C" w:rsidRPr="009754C7">
        <w:rPr>
          <w:rFonts w:asciiTheme="majorHAnsi" w:hAnsiTheme="majorHAnsi"/>
          <w:sz w:val="20"/>
          <w:szCs w:val="20"/>
          <w:lang w:val="es-VE"/>
        </w:rPr>
        <w:t>rcera Fiscalía Provincial Penal</w:t>
      </w:r>
      <w:r w:rsidRPr="009754C7">
        <w:rPr>
          <w:rFonts w:asciiTheme="majorHAnsi" w:hAnsiTheme="majorHAnsi"/>
          <w:sz w:val="20"/>
          <w:szCs w:val="20"/>
          <w:lang w:val="es-VE"/>
        </w:rPr>
        <w:t>.</w:t>
      </w:r>
    </w:p>
    <w:p w14:paraId="487DC032" w14:textId="77777777" w:rsidR="001736A0" w:rsidRPr="009754C7"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14:paraId="1B431A1B" w14:textId="77777777" w:rsidR="001736A0" w:rsidRPr="009754C7"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sidRPr="009754C7">
        <w:rPr>
          <w:rFonts w:asciiTheme="majorHAnsi" w:hAnsiTheme="majorHAnsi"/>
          <w:sz w:val="20"/>
          <w:szCs w:val="20"/>
          <w:lang w:val="es-VE"/>
        </w:rPr>
        <w:t>Los tres indicaron que</w:t>
      </w:r>
      <w:r w:rsidR="00525F27">
        <w:rPr>
          <w:rFonts w:asciiTheme="majorHAnsi" w:hAnsiTheme="majorHAnsi"/>
          <w:sz w:val="20"/>
          <w:szCs w:val="20"/>
          <w:lang w:val="es-VE"/>
        </w:rPr>
        <w:t xml:space="preserve"> el</w:t>
      </w:r>
      <w:r w:rsidRPr="009754C7">
        <w:rPr>
          <w:rFonts w:asciiTheme="majorHAnsi" w:hAnsiTheme="majorHAnsi"/>
          <w:sz w:val="20"/>
          <w:szCs w:val="20"/>
          <w:lang w:val="es-VE"/>
        </w:rPr>
        <w:t xml:space="preserve"> amparo</w:t>
      </w:r>
      <w:r w:rsidR="00A205E2">
        <w:rPr>
          <w:rFonts w:asciiTheme="majorHAnsi" w:hAnsiTheme="majorHAnsi"/>
          <w:sz w:val="20"/>
          <w:szCs w:val="20"/>
          <w:lang w:val="es-VE"/>
        </w:rPr>
        <w:t xml:space="preserve"> </w:t>
      </w:r>
      <w:r w:rsidR="00525F27">
        <w:rPr>
          <w:rFonts w:asciiTheme="majorHAnsi" w:hAnsiTheme="majorHAnsi"/>
          <w:sz w:val="20"/>
          <w:szCs w:val="20"/>
          <w:lang w:val="es-VE"/>
        </w:rPr>
        <w:t>presentado fue declarado improcedente.</w:t>
      </w:r>
      <w:r w:rsidRPr="009754C7">
        <w:rPr>
          <w:rFonts w:asciiTheme="majorHAnsi" w:hAnsiTheme="majorHAnsi"/>
          <w:sz w:val="20"/>
          <w:szCs w:val="20"/>
          <w:lang w:val="es-VE"/>
        </w:rPr>
        <w:t xml:space="preserve"> </w:t>
      </w:r>
    </w:p>
    <w:p w14:paraId="784D2C69" w14:textId="77777777" w:rsidR="001736A0" w:rsidRPr="009754C7" w:rsidRDefault="001736A0" w:rsidP="001736A0">
      <w:pPr>
        <w:pStyle w:val="ListParagraph"/>
        <w:rPr>
          <w:rFonts w:asciiTheme="majorHAnsi" w:hAnsiTheme="majorHAnsi"/>
          <w:sz w:val="20"/>
          <w:szCs w:val="20"/>
          <w:lang w:val="es-VE"/>
        </w:rPr>
      </w:pPr>
    </w:p>
    <w:p w14:paraId="43ADB799" w14:textId="77777777" w:rsidR="001736A0" w:rsidRPr="00F84130" w:rsidRDefault="001736A0" w:rsidP="00F841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sidRPr="009754C7">
        <w:rPr>
          <w:rFonts w:asciiTheme="majorHAnsi" w:hAnsiTheme="majorHAnsi"/>
          <w:sz w:val="20"/>
          <w:szCs w:val="20"/>
          <w:lang w:val="es-VE"/>
        </w:rPr>
        <w:t xml:space="preserve">El señor </w:t>
      </w:r>
      <w:r w:rsidRPr="009754C7">
        <w:rPr>
          <w:rFonts w:asciiTheme="majorHAnsi" w:hAnsiTheme="majorHAnsi"/>
          <w:b/>
          <w:sz w:val="20"/>
          <w:szCs w:val="20"/>
          <w:lang w:val="es-VE"/>
        </w:rPr>
        <w:t>Walter Antonio Valenzuela Cerna</w:t>
      </w:r>
      <w:r w:rsidR="00231909">
        <w:rPr>
          <w:rFonts w:asciiTheme="majorHAnsi" w:hAnsiTheme="majorHAnsi"/>
          <w:sz w:val="20"/>
          <w:szCs w:val="20"/>
          <w:lang w:val="es-VE"/>
        </w:rPr>
        <w:t xml:space="preserve"> indicó que ingresó</w:t>
      </w:r>
      <w:r w:rsidRPr="009754C7">
        <w:rPr>
          <w:rFonts w:asciiTheme="majorHAnsi" w:hAnsiTheme="majorHAnsi"/>
          <w:sz w:val="20"/>
          <w:szCs w:val="20"/>
          <w:lang w:val="es-VE"/>
        </w:rPr>
        <w:t xml:space="preserve"> a la carrera judicial como Juez del Tercer Juzgado de Paz Letrado de Surco y Surquillo el 10 de enero de 1985, bajo la vigencia de la Constitución Política de Perú del año 1979, que en su artículo 242, inciso 2°, garantizaba su permanencia en el servicio hasta los 70 años, así como su inamovilidad en tanto observara conducta e idoneidad propias de la función. Señaló que, a pesar de que su </w:t>
      </w:r>
      <w:r w:rsidR="00434723">
        <w:rPr>
          <w:rFonts w:asciiTheme="majorHAnsi" w:hAnsiTheme="majorHAnsi"/>
          <w:sz w:val="20"/>
          <w:szCs w:val="20"/>
          <w:lang w:val="es-VE"/>
        </w:rPr>
        <w:t>carrera estaba regulada por la C</w:t>
      </w:r>
      <w:r w:rsidRPr="009754C7">
        <w:rPr>
          <w:rFonts w:asciiTheme="majorHAnsi" w:hAnsiTheme="majorHAnsi"/>
          <w:sz w:val="20"/>
          <w:szCs w:val="20"/>
          <w:lang w:val="es-VE"/>
        </w:rPr>
        <w:t xml:space="preserve">onstitución de 1979, el CNM lo convocó </w:t>
      </w:r>
      <w:r w:rsidR="007F3B82" w:rsidRPr="009754C7">
        <w:rPr>
          <w:rFonts w:asciiTheme="majorHAnsi" w:hAnsiTheme="majorHAnsi"/>
          <w:sz w:val="20"/>
          <w:szCs w:val="20"/>
          <w:lang w:val="es-VE"/>
        </w:rPr>
        <w:t>a</w:t>
      </w:r>
      <w:r w:rsidRPr="009754C7">
        <w:rPr>
          <w:rFonts w:asciiTheme="majorHAnsi" w:hAnsiTheme="majorHAnsi"/>
          <w:sz w:val="20"/>
          <w:szCs w:val="20"/>
          <w:lang w:val="es-VE"/>
        </w:rPr>
        <w:t xml:space="preserve"> proceso de evaluación y ratificación, aplicando retroactivamente </w:t>
      </w:r>
      <w:r w:rsidR="0040569F">
        <w:rPr>
          <w:rFonts w:asciiTheme="majorHAnsi" w:hAnsiTheme="majorHAnsi"/>
          <w:sz w:val="20"/>
          <w:szCs w:val="20"/>
          <w:lang w:val="es-VE"/>
        </w:rPr>
        <w:t>la C</w:t>
      </w:r>
      <w:r w:rsidRPr="009754C7">
        <w:rPr>
          <w:rFonts w:asciiTheme="majorHAnsi" w:hAnsiTheme="majorHAnsi"/>
          <w:sz w:val="20"/>
          <w:szCs w:val="20"/>
          <w:lang w:val="es-VE"/>
        </w:rPr>
        <w:t>onstitu</w:t>
      </w:r>
      <w:r w:rsidR="00AC6AC3">
        <w:rPr>
          <w:rFonts w:asciiTheme="majorHAnsi" w:hAnsiTheme="majorHAnsi"/>
          <w:sz w:val="20"/>
          <w:szCs w:val="20"/>
          <w:lang w:val="es-VE"/>
        </w:rPr>
        <w:t xml:space="preserve">ción de 1993 que contemplaba </w:t>
      </w:r>
      <w:r w:rsidRPr="009754C7">
        <w:rPr>
          <w:rFonts w:asciiTheme="majorHAnsi" w:hAnsiTheme="majorHAnsi"/>
          <w:sz w:val="20"/>
          <w:szCs w:val="20"/>
          <w:lang w:val="es-VE"/>
        </w:rPr>
        <w:t>el proceso de evaluación y ratificación de jueces y magistrados. Indicó que por tal situación</w:t>
      </w:r>
      <w:r w:rsidR="00071D45" w:rsidRPr="009754C7">
        <w:rPr>
          <w:rFonts w:asciiTheme="majorHAnsi" w:hAnsiTheme="majorHAnsi"/>
          <w:sz w:val="20"/>
          <w:szCs w:val="20"/>
          <w:lang w:val="es-VE"/>
        </w:rPr>
        <w:t xml:space="preserve">, </w:t>
      </w:r>
      <w:r w:rsidR="00434723">
        <w:rPr>
          <w:rFonts w:asciiTheme="majorHAnsi" w:hAnsiTheme="majorHAnsi"/>
          <w:sz w:val="20"/>
          <w:szCs w:val="20"/>
          <w:lang w:val="es-VE"/>
        </w:rPr>
        <w:t>el</w:t>
      </w:r>
      <w:r w:rsidR="00071D45" w:rsidRPr="009754C7">
        <w:rPr>
          <w:rFonts w:asciiTheme="majorHAnsi" w:hAnsiTheme="majorHAnsi"/>
          <w:sz w:val="20"/>
          <w:szCs w:val="20"/>
          <w:lang w:val="es-VE"/>
        </w:rPr>
        <w:t xml:space="preserve"> 20 de junio de 2002,</w:t>
      </w:r>
      <w:r w:rsidRPr="009754C7">
        <w:rPr>
          <w:rFonts w:asciiTheme="majorHAnsi" w:hAnsiTheme="majorHAnsi"/>
          <w:sz w:val="20"/>
          <w:szCs w:val="20"/>
          <w:lang w:val="es-VE"/>
        </w:rPr>
        <w:t xml:space="preserve"> interpuso acción de amparo en contra de su convocatoria, la cual fue</w:t>
      </w:r>
      <w:r w:rsidR="007B32F6" w:rsidRPr="009754C7">
        <w:rPr>
          <w:rFonts w:asciiTheme="majorHAnsi" w:hAnsiTheme="majorHAnsi"/>
          <w:sz w:val="20"/>
          <w:szCs w:val="20"/>
          <w:lang w:val="es-VE"/>
        </w:rPr>
        <w:t xml:space="preserve"> declarada sin lugar</w:t>
      </w:r>
      <w:r w:rsidRPr="009754C7">
        <w:rPr>
          <w:rFonts w:asciiTheme="majorHAnsi" w:hAnsiTheme="majorHAnsi"/>
          <w:sz w:val="20"/>
          <w:szCs w:val="20"/>
          <w:lang w:val="es-VE"/>
        </w:rPr>
        <w:t>.</w:t>
      </w:r>
      <w:r w:rsidR="00F84130">
        <w:rPr>
          <w:rFonts w:asciiTheme="majorHAnsi" w:hAnsiTheme="majorHAnsi"/>
          <w:sz w:val="20"/>
          <w:szCs w:val="20"/>
          <w:lang w:val="es-VE"/>
        </w:rPr>
        <w:t xml:space="preserve"> </w:t>
      </w:r>
      <w:r w:rsidRPr="00F84130">
        <w:rPr>
          <w:rFonts w:asciiTheme="majorHAnsi" w:hAnsiTheme="majorHAnsi"/>
          <w:sz w:val="20"/>
          <w:szCs w:val="20"/>
          <w:lang w:val="es-VE"/>
        </w:rPr>
        <w:t xml:space="preserve">Explicó que por considerar que ese proceso no le era aplicable, no se presentó </w:t>
      </w:r>
      <w:r w:rsidR="007B32F6" w:rsidRPr="00F84130">
        <w:rPr>
          <w:rFonts w:asciiTheme="majorHAnsi" w:hAnsiTheme="majorHAnsi"/>
          <w:sz w:val="20"/>
          <w:szCs w:val="20"/>
          <w:lang w:val="es-VE"/>
        </w:rPr>
        <w:t>al mismo</w:t>
      </w:r>
      <w:r w:rsidR="0069095F">
        <w:rPr>
          <w:rFonts w:asciiTheme="majorHAnsi" w:hAnsiTheme="majorHAnsi"/>
          <w:sz w:val="20"/>
          <w:szCs w:val="20"/>
          <w:lang w:val="es-VE"/>
        </w:rPr>
        <w:t>, a pesar de lo cual</w:t>
      </w:r>
      <w:r w:rsidR="00416281">
        <w:rPr>
          <w:rFonts w:asciiTheme="majorHAnsi" w:hAnsiTheme="majorHAnsi"/>
          <w:sz w:val="20"/>
          <w:szCs w:val="20"/>
          <w:lang w:val="es-VE"/>
        </w:rPr>
        <w:t xml:space="preserve"> </w:t>
      </w:r>
      <w:r w:rsidR="007B32F6" w:rsidRPr="00F84130">
        <w:rPr>
          <w:rFonts w:asciiTheme="majorHAnsi" w:hAnsiTheme="majorHAnsi"/>
          <w:sz w:val="20"/>
          <w:szCs w:val="20"/>
          <w:lang w:val="es-VE"/>
        </w:rPr>
        <w:t xml:space="preserve">el </w:t>
      </w:r>
      <w:r w:rsidRPr="00F84130">
        <w:rPr>
          <w:rFonts w:asciiTheme="majorHAnsi" w:hAnsiTheme="majorHAnsi"/>
          <w:sz w:val="20"/>
          <w:szCs w:val="20"/>
          <w:lang w:val="es-VE"/>
        </w:rPr>
        <w:t xml:space="preserve">CNM </w:t>
      </w:r>
      <w:r w:rsidR="007B32F6" w:rsidRPr="00F84130">
        <w:rPr>
          <w:rFonts w:asciiTheme="majorHAnsi" w:hAnsiTheme="majorHAnsi"/>
          <w:sz w:val="20"/>
          <w:szCs w:val="20"/>
          <w:lang w:val="es-VE"/>
        </w:rPr>
        <w:t>dejó sin efecto su nombramiento</w:t>
      </w:r>
      <w:r w:rsidRPr="00F84130">
        <w:rPr>
          <w:rFonts w:asciiTheme="majorHAnsi" w:hAnsiTheme="majorHAnsi"/>
          <w:sz w:val="20"/>
          <w:szCs w:val="20"/>
          <w:lang w:val="es-VE"/>
        </w:rPr>
        <w:t xml:space="preserve">. </w:t>
      </w:r>
    </w:p>
    <w:p w14:paraId="7A69415E" w14:textId="77777777" w:rsidR="001736A0" w:rsidRDefault="001736A0" w:rsidP="001736A0">
      <w:pPr>
        <w:pStyle w:val="ListParagraph"/>
        <w:rPr>
          <w:rFonts w:asciiTheme="majorHAnsi" w:hAnsiTheme="majorHAnsi"/>
          <w:sz w:val="20"/>
          <w:szCs w:val="20"/>
          <w:lang w:val="es-VE"/>
        </w:rPr>
      </w:pPr>
    </w:p>
    <w:p w14:paraId="32FDBCB8" w14:textId="77777777" w:rsidR="001736A0" w:rsidRPr="00100E7E"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b/>
          <w:sz w:val="20"/>
          <w:szCs w:val="20"/>
          <w:lang w:val="es-VE"/>
        </w:rPr>
      </w:pPr>
      <w:r>
        <w:rPr>
          <w:rFonts w:asciiTheme="majorHAnsi" w:hAnsiTheme="majorHAnsi"/>
          <w:sz w:val="20"/>
          <w:szCs w:val="20"/>
          <w:lang w:val="es-VE"/>
        </w:rPr>
        <w:t xml:space="preserve">En cuanto al </w:t>
      </w:r>
      <w:r w:rsidR="00CD0AEB">
        <w:rPr>
          <w:rFonts w:asciiTheme="majorHAnsi" w:hAnsiTheme="majorHAnsi"/>
          <w:sz w:val="20"/>
          <w:szCs w:val="20"/>
          <w:lang w:val="es-VE"/>
        </w:rPr>
        <w:t>derecho, las presuntas víctimas</w:t>
      </w:r>
      <w:r>
        <w:rPr>
          <w:rFonts w:asciiTheme="majorHAnsi" w:hAnsiTheme="majorHAnsi"/>
          <w:sz w:val="20"/>
          <w:szCs w:val="20"/>
          <w:lang w:val="es-VE"/>
        </w:rPr>
        <w:t xml:space="preserve"> a</w:t>
      </w:r>
      <w:r w:rsidR="004C25AF">
        <w:rPr>
          <w:rFonts w:asciiTheme="majorHAnsi" w:hAnsiTheme="majorHAnsi"/>
          <w:sz w:val="20"/>
          <w:szCs w:val="20"/>
          <w:lang w:val="es-VE"/>
        </w:rPr>
        <w:t xml:space="preserve">legaron </w:t>
      </w:r>
      <w:r>
        <w:rPr>
          <w:rFonts w:asciiTheme="majorHAnsi" w:hAnsiTheme="majorHAnsi"/>
          <w:sz w:val="20"/>
          <w:szCs w:val="20"/>
          <w:lang w:val="es-VE"/>
        </w:rPr>
        <w:t xml:space="preserve">violaciones al </w:t>
      </w:r>
      <w:r w:rsidRPr="00100E7E">
        <w:rPr>
          <w:rFonts w:asciiTheme="majorHAnsi" w:hAnsiTheme="majorHAnsi"/>
          <w:b/>
          <w:sz w:val="20"/>
          <w:szCs w:val="20"/>
          <w:lang w:val="es-VE"/>
        </w:rPr>
        <w:t>principio de legalidad</w:t>
      </w:r>
      <w:r>
        <w:rPr>
          <w:rFonts w:asciiTheme="majorHAnsi" w:hAnsiTheme="majorHAnsi"/>
          <w:sz w:val="20"/>
          <w:szCs w:val="20"/>
          <w:lang w:val="es-VE"/>
        </w:rPr>
        <w:t xml:space="preserve">, </w:t>
      </w:r>
      <w:r w:rsidRPr="00100E7E">
        <w:rPr>
          <w:rFonts w:asciiTheme="majorHAnsi" w:hAnsiTheme="majorHAnsi"/>
          <w:b/>
          <w:sz w:val="20"/>
          <w:szCs w:val="20"/>
          <w:lang w:val="es-VE"/>
        </w:rPr>
        <w:t xml:space="preserve">garantías judiciales, protección judicial, derechos políticos y al deber de adoptar disposiciones de derecho interno. </w:t>
      </w:r>
    </w:p>
    <w:p w14:paraId="4B3DA533" w14:textId="77777777" w:rsidR="001736A0" w:rsidRDefault="001736A0" w:rsidP="001736A0">
      <w:pPr>
        <w:pStyle w:val="ListParagraph"/>
        <w:rPr>
          <w:rFonts w:asciiTheme="majorHAnsi" w:hAnsiTheme="majorHAnsi"/>
          <w:sz w:val="20"/>
          <w:szCs w:val="20"/>
          <w:lang w:val="es-VE"/>
        </w:rPr>
      </w:pPr>
    </w:p>
    <w:p w14:paraId="16F784E0" w14:textId="77777777" w:rsidR="001736A0" w:rsidRPr="00062CBF" w:rsidRDefault="001736A0" w:rsidP="00062C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 xml:space="preserve">Con respecto al </w:t>
      </w:r>
      <w:r w:rsidRPr="00F8458D">
        <w:rPr>
          <w:rFonts w:asciiTheme="majorHAnsi" w:hAnsiTheme="majorHAnsi"/>
          <w:b/>
          <w:sz w:val="20"/>
          <w:szCs w:val="20"/>
          <w:lang w:val="es-VE"/>
        </w:rPr>
        <w:t>principio de legalidad</w:t>
      </w:r>
      <w:r>
        <w:rPr>
          <w:rFonts w:asciiTheme="majorHAnsi" w:hAnsiTheme="majorHAnsi"/>
          <w:sz w:val="20"/>
          <w:szCs w:val="20"/>
          <w:lang w:val="es-VE"/>
        </w:rPr>
        <w:t xml:space="preserve">, </w:t>
      </w:r>
      <w:r w:rsidRPr="00AE0854">
        <w:rPr>
          <w:rFonts w:asciiTheme="majorHAnsi" w:hAnsiTheme="majorHAnsi"/>
          <w:sz w:val="20"/>
          <w:szCs w:val="20"/>
          <w:lang w:val="es-VE"/>
        </w:rPr>
        <w:t>el peticionario Cuya Lav</w:t>
      </w:r>
      <w:r w:rsidR="009642A3">
        <w:rPr>
          <w:rFonts w:asciiTheme="majorHAnsi" w:hAnsiTheme="majorHAnsi"/>
          <w:sz w:val="20"/>
          <w:szCs w:val="20"/>
          <w:lang w:val="es-VE"/>
        </w:rPr>
        <w:t>y</w:t>
      </w:r>
      <w:r w:rsidRPr="00AE0854">
        <w:rPr>
          <w:rFonts w:asciiTheme="majorHAnsi" w:hAnsiTheme="majorHAnsi"/>
          <w:sz w:val="20"/>
          <w:szCs w:val="20"/>
          <w:lang w:val="es-VE"/>
        </w:rPr>
        <w:t xml:space="preserve"> indicó que se violó dicho derecho porque el art</w:t>
      </w:r>
      <w:r w:rsidR="0040569F">
        <w:rPr>
          <w:rFonts w:asciiTheme="majorHAnsi" w:hAnsiTheme="majorHAnsi"/>
          <w:sz w:val="20"/>
          <w:szCs w:val="20"/>
          <w:lang w:val="es-VE"/>
        </w:rPr>
        <w:t>ículo 146, incisos 2 y 3 de la C</w:t>
      </w:r>
      <w:r w:rsidRPr="00AE0854">
        <w:rPr>
          <w:rFonts w:asciiTheme="majorHAnsi" w:hAnsiTheme="majorHAnsi"/>
          <w:sz w:val="20"/>
          <w:szCs w:val="20"/>
          <w:lang w:val="es-VE"/>
        </w:rPr>
        <w:t>onstitución de 1993 garantizaba la permanencia e inamovilidad de los jueces en servicio mientras observaran buena conducta e idoneidad propias de la función, sin embargo, él fue removido sin haber incurrido en conducta inidónea o impropia, o al menos, sin que se le haya imputado alguna de estas.</w:t>
      </w:r>
      <w:r w:rsidR="006320BF">
        <w:rPr>
          <w:rFonts w:asciiTheme="majorHAnsi" w:hAnsiTheme="majorHAnsi"/>
          <w:sz w:val="20"/>
          <w:szCs w:val="20"/>
          <w:lang w:val="es-VE"/>
        </w:rPr>
        <w:t xml:space="preserve"> Indicó que no existían causales predeterminadas invocadas en la resolución de no ratificación que motivar</w:t>
      </w:r>
      <w:r w:rsidR="00D43119">
        <w:rPr>
          <w:rFonts w:asciiTheme="majorHAnsi" w:hAnsiTheme="majorHAnsi"/>
          <w:sz w:val="20"/>
          <w:szCs w:val="20"/>
          <w:lang w:val="es-VE"/>
        </w:rPr>
        <w:t>an</w:t>
      </w:r>
      <w:r w:rsidR="006320BF">
        <w:rPr>
          <w:rFonts w:asciiTheme="majorHAnsi" w:hAnsiTheme="majorHAnsi"/>
          <w:sz w:val="20"/>
          <w:szCs w:val="20"/>
          <w:lang w:val="es-VE"/>
        </w:rPr>
        <w:t xml:space="preserve"> la decisión adoptada. </w:t>
      </w:r>
      <w:r w:rsidR="00062CBF">
        <w:rPr>
          <w:rFonts w:asciiTheme="majorHAnsi" w:hAnsiTheme="majorHAnsi"/>
          <w:sz w:val="20"/>
          <w:szCs w:val="20"/>
          <w:lang w:val="es-VE"/>
        </w:rPr>
        <w:t>E</w:t>
      </w:r>
      <w:r w:rsidRPr="00062CBF">
        <w:rPr>
          <w:rFonts w:asciiTheme="majorHAnsi" w:hAnsiTheme="majorHAnsi"/>
          <w:sz w:val="20"/>
          <w:szCs w:val="20"/>
          <w:lang w:val="es-VE"/>
        </w:rPr>
        <w:t xml:space="preserve">l peticionario Valenzuela Cerna refirió </w:t>
      </w:r>
      <w:r w:rsidR="00062CBF">
        <w:rPr>
          <w:rFonts w:asciiTheme="majorHAnsi" w:hAnsiTheme="majorHAnsi"/>
          <w:sz w:val="20"/>
          <w:szCs w:val="20"/>
          <w:lang w:val="es-VE"/>
        </w:rPr>
        <w:t xml:space="preserve">además la aplicación retroactiva de la </w:t>
      </w:r>
      <w:r w:rsidR="0040569F" w:rsidRPr="00062CBF">
        <w:rPr>
          <w:rFonts w:ascii="Cambria" w:hAnsi="Cambria"/>
          <w:sz w:val="20"/>
          <w:szCs w:val="20"/>
          <w:lang w:val="es-VE"/>
        </w:rPr>
        <w:t>C</w:t>
      </w:r>
      <w:r w:rsidRPr="00062CBF">
        <w:rPr>
          <w:rFonts w:ascii="Cambria" w:hAnsi="Cambria"/>
          <w:sz w:val="20"/>
          <w:szCs w:val="20"/>
          <w:lang w:val="es-VE"/>
        </w:rPr>
        <w:t>onstitución de 1993, pues su re</w:t>
      </w:r>
      <w:r w:rsidR="0040569F" w:rsidRPr="00062CBF">
        <w:rPr>
          <w:rFonts w:ascii="Cambria" w:hAnsi="Cambria"/>
          <w:sz w:val="20"/>
          <w:szCs w:val="20"/>
          <w:lang w:val="es-VE"/>
        </w:rPr>
        <w:t>lación laboral se regía por la C</w:t>
      </w:r>
      <w:r w:rsidRPr="00062CBF">
        <w:rPr>
          <w:rFonts w:ascii="Cambria" w:hAnsi="Cambria"/>
          <w:sz w:val="20"/>
          <w:szCs w:val="20"/>
          <w:lang w:val="es-VE"/>
        </w:rPr>
        <w:t>onstitución de 1979</w:t>
      </w:r>
      <w:r w:rsidR="00CD0AEB" w:rsidRPr="00062CBF">
        <w:rPr>
          <w:rFonts w:ascii="Cambria" w:hAnsi="Cambria"/>
          <w:sz w:val="20"/>
          <w:szCs w:val="20"/>
          <w:lang w:val="es-VE"/>
        </w:rPr>
        <w:t xml:space="preserve">. </w:t>
      </w:r>
    </w:p>
    <w:p w14:paraId="30B135B4" w14:textId="77777777" w:rsidR="001736A0" w:rsidRDefault="001736A0" w:rsidP="001736A0">
      <w:pPr>
        <w:pStyle w:val="ListParagraph"/>
        <w:rPr>
          <w:rFonts w:asciiTheme="majorHAnsi" w:hAnsiTheme="majorHAnsi"/>
          <w:sz w:val="20"/>
          <w:szCs w:val="20"/>
          <w:lang w:val="es-VE"/>
        </w:rPr>
      </w:pPr>
    </w:p>
    <w:p w14:paraId="19661A4D" w14:textId="77777777" w:rsidR="001736A0" w:rsidRPr="00C62F00" w:rsidRDefault="001736A0" w:rsidP="00C62F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 xml:space="preserve">Con respecto a las </w:t>
      </w:r>
      <w:r w:rsidRPr="007C180C">
        <w:rPr>
          <w:rFonts w:asciiTheme="majorHAnsi" w:hAnsiTheme="majorHAnsi"/>
          <w:b/>
          <w:sz w:val="20"/>
          <w:szCs w:val="20"/>
          <w:lang w:val="es-VE"/>
        </w:rPr>
        <w:t>garantías judiciales y protección judicial</w:t>
      </w:r>
      <w:r>
        <w:rPr>
          <w:rFonts w:asciiTheme="majorHAnsi" w:hAnsiTheme="majorHAnsi"/>
          <w:sz w:val="20"/>
          <w:szCs w:val="20"/>
          <w:lang w:val="es-VE"/>
        </w:rPr>
        <w:t xml:space="preserve">, indicaron que se violaron dichos derechos porque las resoluciones carecen de motivación, y porque no se hizo de su conocimiento imputación o cargo alguno en su contra para que pudieran ejercer su defensa. </w:t>
      </w:r>
      <w:r w:rsidR="002C1DE3">
        <w:rPr>
          <w:rFonts w:asciiTheme="majorHAnsi" w:hAnsiTheme="majorHAnsi"/>
          <w:sz w:val="20"/>
          <w:szCs w:val="20"/>
          <w:lang w:val="es-VE"/>
        </w:rPr>
        <w:t xml:space="preserve">También </w:t>
      </w:r>
      <w:r>
        <w:rPr>
          <w:rFonts w:asciiTheme="majorHAnsi" w:hAnsiTheme="majorHAnsi"/>
          <w:sz w:val="20"/>
          <w:szCs w:val="20"/>
          <w:lang w:val="es-VE"/>
        </w:rPr>
        <w:t xml:space="preserve">refirieron </w:t>
      </w:r>
      <w:r w:rsidR="00867215">
        <w:rPr>
          <w:rFonts w:asciiTheme="majorHAnsi" w:hAnsiTheme="majorHAnsi"/>
          <w:sz w:val="20"/>
          <w:szCs w:val="20"/>
          <w:lang w:val="es-VE"/>
        </w:rPr>
        <w:t>la inimpugnabilidad de las</w:t>
      </w:r>
      <w:r w:rsidR="00416281">
        <w:rPr>
          <w:rFonts w:asciiTheme="majorHAnsi" w:hAnsiTheme="majorHAnsi"/>
          <w:sz w:val="20"/>
          <w:szCs w:val="20"/>
          <w:lang w:val="es-VE"/>
        </w:rPr>
        <w:t xml:space="preserve"> </w:t>
      </w:r>
      <w:r w:rsidRPr="00DD5A4D">
        <w:rPr>
          <w:rFonts w:ascii="Cambria" w:hAnsi="Cambria"/>
          <w:sz w:val="20"/>
          <w:szCs w:val="20"/>
          <w:lang w:val="es-VE"/>
        </w:rPr>
        <w:t>resoluciones de no ratificación del CNM</w:t>
      </w:r>
      <w:r w:rsidR="00FE0038">
        <w:rPr>
          <w:rFonts w:ascii="Cambria" w:hAnsi="Cambria"/>
          <w:sz w:val="20"/>
          <w:szCs w:val="20"/>
          <w:lang w:val="es-VE"/>
        </w:rPr>
        <w:t>.</w:t>
      </w:r>
      <w:r w:rsidR="0055394F">
        <w:rPr>
          <w:rFonts w:asciiTheme="majorHAnsi" w:hAnsiTheme="majorHAnsi"/>
          <w:sz w:val="20"/>
          <w:szCs w:val="20"/>
          <w:lang w:val="es-VE"/>
        </w:rPr>
        <w:t xml:space="preserve"> </w:t>
      </w:r>
      <w:r w:rsidRPr="0055394F">
        <w:rPr>
          <w:rFonts w:asciiTheme="majorHAnsi" w:hAnsiTheme="majorHAnsi"/>
          <w:sz w:val="20"/>
          <w:szCs w:val="20"/>
          <w:lang w:val="es-VE"/>
        </w:rPr>
        <w:t>Específicamente, el señor Cuya Lav</w:t>
      </w:r>
      <w:r w:rsidR="0055394F">
        <w:rPr>
          <w:rFonts w:asciiTheme="majorHAnsi" w:hAnsiTheme="majorHAnsi"/>
          <w:sz w:val="20"/>
          <w:szCs w:val="20"/>
          <w:lang w:val="es-VE"/>
        </w:rPr>
        <w:t>y</w:t>
      </w:r>
      <w:r w:rsidRPr="0055394F">
        <w:rPr>
          <w:rFonts w:asciiTheme="majorHAnsi" w:hAnsiTheme="majorHAnsi"/>
          <w:sz w:val="20"/>
          <w:szCs w:val="20"/>
          <w:lang w:val="es-VE"/>
        </w:rPr>
        <w:t xml:space="preserve"> indicó que </w:t>
      </w:r>
      <w:r w:rsidRPr="0055394F">
        <w:rPr>
          <w:rFonts w:ascii="Cambria" w:hAnsi="Cambria"/>
          <w:sz w:val="20"/>
          <w:szCs w:val="20"/>
          <w:lang w:val="es-VE"/>
        </w:rPr>
        <w:t xml:space="preserve">no se le permitió presentar prueba o descargos a su favor y se le vedó el acceso a las actuaciones </w:t>
      </w:r>
      <w:r w:rsidR="00134CC8">
        <w:rPr>
          <w:rFonts w:ascii="Cambria" w:hAnsi="Cambria"/>
          <w:sz w:val="20"/>
          <w:szCs w:val="20"/>
          <w:lang w:val="es-VE"/>
        </w:rPr>
        <w:t xml:space="preserve">pues </w:t>
      </w:r>
      <w:r w:rsidRPr="0055394F">
        <w:rPr>
          <w:rFonts w:ascii="Cambria" w:hAnsi="Cambria"/>
          <w:sz w:val="20"/>
          <w:szCs w:val="20"/>
          <w:lang w:val="es-VE"/>
        </w:rPr>
        <w:t xml:space="preserve">el proceso </w:t>
      </w:r>
      <w:r w:rsidR="00134CC8">
        <w:rPr>
          <w:rFonts w:ascii="Cambria" w:hAnsi="Cambria"/>
          <w:sz w:val="20"/>
          <w:szCs w:val="20"/>
          <w:lang w:val="es-VE"/>
        </w:rPr>
        <w:t xml:space="preserve">era </w:t>
      </w:r>
      <w:r w:rsidRPr="0055394F">
        <w:rPr>
          <w:rFonts w:ascii="Cambria" w:hAnsi="Cambria"/>
          <w:sz w:val="20"/>
          <w:szCs w:val="20"/>
          <w:lang w:val="es-VE"/>
        </w:rPr>
        <w:t xml:space="preserve">secreto. </w:t>
      </w:r>
      <w:r w:rsidR="00C62F00">
        <w:rPr>
          <w:rFonts w:ascii="Cambria" w:hAnsi="Cambria"/>
          <w:sz w:val="20"/>
          <w:szCs w:val="20"/>
          <w:lang w:val="es-VE"/>
        </w:rPr>
        <w:t>E</w:t>
      </w:r>
      <w:r w:rsidRPr="00C62F00">
        <w:rPr>
          <w:rFonts w:ascii="Cambria" w:hAnsi="Cambria"/>
          <w:sz w:val="20"/>
          <w:szCs w:val="20"/>
          <w:lang w:val="es-VE"/>
        </w:rPr>
        <w:t>l señor Valenzuela Cerna refirió que el CNM emitió resolución declarando su no ratificación en su ausencia.</w:t>
      </w:r>
    </w:p>
    <w:p w14:paraId="7D0BC2A0" w14:textId="77777777" w:rsidR="001736A0"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14:paraId="47367F57" w14:textId="77777777" w:rsidR="001736A0" w:rsidRPr="005E1908" w:rsidRDefault="001736A0" w:rsidP="005E19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 xml:space="preserve">Con respecto a los </w:t>
      </w:r>
      <w:r w:rsidR="00EA41AB">
        <w:rPr>
          <w:rFonts w:asciiTheme="majorHAnsi" w:hAnsiTheme="majorHAnsi"/>
          <w:b/>
          <w:sz w:val="20"/>
          <w:szCs w:val="20"/>
          <w:lang w:val="es-VE"/>
        </w:rPr>
        <w:t>derechos políticos,</w:t>
      </w:r>
      <w:r>
        <w:rPr>
          <w:rFonts w:asciiTheme="majorHAnsi" w:hAnsiTheme="majorHAnsi"/>
          <w:b/>
          <w:sz w:val="20"/>
          <w:szCs w:val="20"/>
          <w:lang w:val="es-VE"/>
        </w:rPr>
        <w:t xml:space="preserve"> </w:t>
      </w:r>
      <w:r w:rsidRPr="00DD5A4D">
        <w:rPr>
          <w:rFonts w:asciiTheme="majorHAnsi" w:hAnsiTheme="majorHAnsi"/>
          <w:sz w:val="20"/>
          <w:szCs w:val="20"/>
          <w:lang w:val="es-VE"/>
        </w:rPr>
        <w:t>indicaron que</w:t>
      </w:r>
      <w:r>
        <w:rPr>
          <w:rFonts w:asciiTheme="majorHAnsi" w:hAnsiTheme="majorHAnsi"/>
          <w:b/>
          <w:sz w:val="20"/>
          <w:szCs w:val="20"/>
          <w:lang w:val="es-VE"/>
        </w:rPr>
        <w:t xml:space="preserve"> </w:t>
      </w:r>
      <w:r w:rsidRPr="00F8458D">
        <w:rPr>
          <w:rFonts w:asciiTheme="majorHAnsi" w:hAnsiTheme="majorHAnsi"/>
          <w:sz w:val="20"/>
          <w:szCs w:val="20"/>
          <w:lang w:val="es-VE"/>
        </w:rPr>
        <w:t xml:space="preserve">se </w:t>
      </w:r>
      <w:r w:rsidR="004C1B63">
        <w:rPr>
          <w:rFonts w:asciiTheme="majorHAnsi" w:hAnsiTheme="majorHAnsi"/>
          <w:sz w:val="20"/>
          <w:szCs w:val="20"/>
          <w:lang w:val="es-VE"/>
        </w:rPr>
        <w:t xml:space="preserve">violó su </w:t>
      </w:r>
      <w:r w:rsidRPr="00DD5A4D">
        <w:rPr>
          <w:rFonts w:asciiTheme="majorHAnsi" w:hAnsiTheme="majorHAnsi"/>
          <w:sz w:val="20"/>
          <w:szCs w:val="20"/>
          <w:lang w:val="es-VE"/>
        </w:rPr>
        <w:t xml:space="preserve">derecho de acceder a funciones públicas ya que </w:t>
      </w:r>
      <w:r w:rsidRPr="00DD5A4D">
        <w:rPr>
          <w:rFonts w:ascii="Cambria" w:hAnsi="Cambria"/>
          <w:sz w:val="20"/>
          <w:szCs w:val="20"/>
          <w:lang w:val="es-VE"/>
        </w:rPr>
        <w:t xml:space="preserve">las resoluciones del CNM conllevan una sanción perpetua debido a que implican la imposibilidad permanente de reingresar al Poder Judicial o Ministerio Público, negándoseles el acceso a la función pública. </w:t>
      </w:r>
      <w:r w:rsidR="004C1B63">
        <w:rPr>
          <w:rFonts w:ascii="Cambria" w:hAnsi="Cambria"/>
          <w:sz w:val="20"/>
          <w:szCs w:val="20"/>
          <w:lang w:val="es-VE"/>
        </w:rPr>
        <w:t>A</w:t>
      </w:r>
      <w:r w:rsidRPr="00DD5A4D">
        <w:rPr>
          <w:rFonts w:ascii="Cambria" w:hAnsi="Cambria"/>
          <w:sz w:val="20"/>
          <w:szCs w:val="20"/>
          <w:lang w:val="es-VE"/>
        </w:rPr>
        <w:t xml:space="preserve">rgumentaron que el CNM utilizó criterios subjetivos, discrecionales y arbitrarios para decidir su no ratificación, </w:t>
      </w:r>
      <w:r w:rsidR="00BA0EFE">
        <w:rPr>
          <w:rFonts w:ascii="Cambria" w:hAnsi="Cambria"/>
          <w:sz w:val="20"/>
          <w:szCs w:val="20"/>
          <w:lang w:val="es-VE"/>
        </w:rPr>
        <w:t xml:space="preserve">lo que </w:t>
      </w:r>
      <w:r w:rsidRPr="00DD5A4D">
        <w:rPr>
          <w:rFonts w:ascii="Cambria" w:hAnsi="Cambria"/>
          <w:sz w:val="20"/>
          <w:szCs w:val="20"/>
          <w:lang w:val="es-VE"/>
        </w:rPr>
        <w:t>repercute en la independencia de los operadores de justicia</w:t>
      </w:r>
      <w:r>
        <w:rPr>
          <w:rFonts w:ascii="Cambria" w:hAnsi="Cambria"/>
          <w:sz w:val="20"/>
          <w:szCs w:val="20"/>
          <w:lang w:val="es-VE"/>
        </w:rPr>
        <w:t>.</w:t>
      </w:r>
      <w:r w:rsidR="005E1908">
        <w:rPr>
          <w:rFonts w:asciiTheme="majorHAnsi" w:hAnsiTheme="majorHAnsi"/>
          <w:sz w:val="20"/>
          <w:szCs w:val="20"/>
          <w:lang w:val="es-VE"/>
        </w:rPr>
        <w:t xml:space="preserve"> </w:t>
      </w:r>
      <w:r w:rsidRPr="005E1908">
        <w:rPr>
          <w:rFonts w:asciiTheme="majorHAnsi" w:hAnsiTheme="majorHAnsi"/>
          <w:sz w:val="20"/>
          <w:szCs w:val="20"/>
          <w:lang w:val="es-VE"/>
        </w:rPr>
        <w:t xml:space="preserve">Con respecto al </w:t>
      </w:r>
      <w:r w:rsidRPr="005E1908">
        <w:rPr>
          <w:rFonts w:asciiTheme="majorHAnsi" w:hAnsiTheme="majorHAnsi"/>
          <w:b/>
          <w:sz w:val="20"/>
          <w:szCs w:val="20"/>
          <w:lang w:val="es-VE"/>
        </w:rPr>
        <w:t>deber de adoptar disposiciones de derecho interno</w:t>
      </w:r>
      <w:r w:rsidR="00EA41AB" w:rsidRPr="005E1908">
        <w:rPr>
          <w:rFonts w:asciiTheme="majorHAnsi" w:hAnsiTheme="majorHAnsi"/>
          <w:sz w:val="20"/>
          <w:szCs w:val="20"/>
          <w:lang w:val="es-VE"/>
        </w:rPr>
        <w:t>,</w:t>
      </w:r>
      <w:r w:rsidRPr="005E1908">
        <w:rPr>
          <w:rFonts w:asciiTheme="majorHAnsi" w:hAnsiTheme="majorHAnsi"/>
          <w:sz w:val="20"/>
          <w:szCs w:val="20"/>
          <w:lang w:val="es-VE"/>
        </w:rPr>
        <w:t xml:space="preserve"> indicaron que el ordenamiento jurídico que les fue aplicado no era</w:t>
      </w:r>
      <w:r w:rsidR="005E182E">
        <w:rPr>
          <w:rFonts w:asciiTheme="majorHAnsi" w:hAnsiTheme="majorHAnsi"/>
          <w:sz w:val="20"/>
          <w:szCs w:val="20"/>
          <w:lang w:val="es-VE"/>
        </w:rPr>
        <w:t xml:space="preserve"> consistente con </w:t>
      </w:r>
      <w:r w:rsidRPr="005E1908">
        <w:rPr>
          <w:rFonts w:asciiTheme="majorHAnsi" w:hAnsiTheme="majorHAnsi"/>
          <w:sz w:val="20"/>
          <w:szCs w:val="20"/>
          <w:lang w:val="es-VE"/>
        </w:rPr>
        <w:t xml:space="preserve">los estándares del sistema interamericano </w:t>
      </w:r>
      <w:r w:rsidR="005E182E">
        <w:rPr>
          <w:rFonts w:asciiTheme="majorHAnsi" w:hAnsiTheme="majorHAnsi"/>
          <w:sz w:val="20"/>
          <w:szCs w:val="20"/>
          <w:lang w:val="es-VE"/>
        </w:rPr>
        <w:t xml:space="preserve">sobre </w:t>
      </w:r>
      <w:r w:rsidRPr="005E1908">
        <w:rPr>
          <w:rFonts w:asciiTheme="majorHAnsi" w:hAnsiTheme="majorHAnsi"/>
          <w:sz w:val="20"/>
          <w:szCs w:val="20"/>
          <w:lang w:val="es-VE"/>
        </w:rPr>
        <w:t>las garantías necesarias para jueces y fiscales.</w:t>
      </w:r>
    </w:p>
    <w:p w14:paraId="10C01954" w14:textId="77777777" w:rsidR="00860D3A" w:rsidRPr="00AE42C3" w:rsidRDefault="00860D3A" w:rsidP="001736A0">
      <w:pPr>
        <w:suppressAutoHyphens/>
        <w:rPr>
          <w:rFonts w:asciiTheme="majorHAnsi" w:hAnsiTheme="majorHAnsi"/>
          <w:sz w:val="20"/>
          <w:szCs w:val="20"/>
          <w:lang w:val="es-VE"/>
        </w:rPr>
      </w:pPr>
    </w:p>
    <w:p w14:paraId="3498747F" w14:textId="77777777" w:rsidR="00EA41AB" w:rsidRDefault="001736A0" w:rsidP="00416281">
      <w:pPr>
        <w:pStyle w:val="Heading2"/>
        <w:numPr>
          <w:ilvl w:val="0"/>
          <w:numId w:val="56"/>
        </w:numPr>
        <w:spacing w:before="0" w:after="0"/>
        <w:ind w:hanging="90"/>
        <w:rPr>
          <w:rFonts w:asciiTheme="majorHAnsi" w:hAnsiTheme="majorHAnsi"/>
          <w:i w:val="0"/>
          <w:sz w:val="20"/>
          <w:szCs w:val="20"/>
          <w:lang w:val="es-ES_tradnl"/>
        </w:rPr>
      </w:pPr>
      <w:bookmarkStart w:id="4" w:name="_Toc527450118"/>
      <w:r w:rsidRPr="00EB4515">
        <w:rPr>
          <w:rFonts w:asciiTheme="majorHAnsi" w:hAnsiTheme="majorHAnsi"/>
          <w:i w:val="0"/>
          <w:sz w:val="20"/>
          <w:szCs w:val="20"/>
          <w:lang w:val="es-ES_tradnl"/>
        </w:rPr>
        <w:t>Estado</w:t>
      </w:r>
      <w:bookmarkEnd w:id="4"/>
    </w:p>
    <w:p w14:paraId="57BA02D4" w14:textId="77777777" w:rsidR="00416281" w:rsidRPr="00416281" w:rsidRDefault="00416281" w:rsidP="00416281">
      <w:pPr>
        <w:rPr>
          <w:lang w:val="es-ES_tradnl"/>
        </w:rPr>
      </w:pPr>
    </w:p>
    <w:p w14:paraId="160B5EED" w14:textId="77777777" w:rsidR="003C3D97" w:rsidRPr="002E10BB" w:rsidRDefault="001736A0" w:rsidP="002E10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sidRPr="00EB4515">
        <w:rPr>
          <w:rFonts w:asciiTheme="majorHAnsi" w:hAnsiTheme="majorHAnsi"/>
          <w:sz w:val="20"/>
          <w:szCs w:val="20"/>
          <w:lang w:val="es-VE"/>
        </w:rPr>
        <w:t xml:space="preserve">El Estado indicó que en el artículo </w:t>
      </w:r>
      <w:r w:rsidR="00EA41AB" w:rsidRPr="00EB4515">
        <w:rPr>
          <w:rFonts w:asciiTheme="majorHAnsi" w:hAnsiTheme="majorHAnsi"/>
          <w:sz w:val="20"/>
          <w:szCs w:val="20"/>
          <w:lang w:val="es-VE"/>
        </w:rPr>
        <w:t>154, numeral 2,</w:t>
      </w:r>
      <w:r w:rsidR="003C3D97" w:rsidRPr="00EB4515">
        <w:rPr>
          <w:rFonts w:asciiTheme="majorHAnsi" w:hAnsiTheme="majorHAnsi"/>
          <w:sz w:val="20"/>
          <w:szCs w:val="20"/>
          <w:lang w:val="es-VE"/>
        </w:rPr>
        <w:t xml:space="preserve"> de la Constitución peruana se encuentra previsto</w:t>
      </w:r>
      <w:r w:rsidRPr="00EB4515">
        <w:rPr>
          <w:rFonts w:asciiTheme="majorHAnsi" w:hAnsiTheme="majorHAnsi"/>
          <w:sz w:val="20"/>
          <w:szCs w:val="20"/>
          <w:lang w:val="es-VE"/>
        </w:rPr>
        <w:t xml:space="preserve"> </w:t>
      </w:r>
      <w:r w:rsidR="003C3D97" w:rsidRPr="00EB4515">
        <w:rPr>
          <w:rFonts w:asciiTheme="majorHAnsi" w:hAnsiTheme="majorHAnsi"/>
          <w:sz w:val="20"/>
          <w:szCs w:val="20"/>
          <w:lang w:val="es-VE"/>
        </w:rPr>
        <w:t xml:space="preserve">el proceso de evaluación y ratificación de jueces y fiscales de todos los niveles cada 7 años. </w:t>
      </w:r>
      <w:r w:rsidR="00C94980">
        <w:rPr>
          <w:rFonts w:asciiTheme="majorHAnsi" w:hAnsiTheme="majorHAnsi"/>
          <w:sz w:val="20"/>
          <w:szCs w:val="20"/>
          <w:lang w:val="es-VE"/>
        </w:rPr>
        <w:t>Señaló</w:t>
      </w:r>
      <w:r w:rsidR="003C3D97" w:rsidRPr="00EB4515">
        <w:rPr>
          <w:rFonts w:asciiTheme="majorHAnsi" w:hAnsiTheme="majorHAnsi"/>
          <w:sz w:val="20"/>
          <w:szCs w:val="20"/>
          <w:lang w:val="es-VE"/>
        </w:rPr>
        <w:t xml:space="preserve"> que este proceso consiste en una evaluación que realizan los miembros del CNM respecto </w:t>
      </w:r>
      <w:r w:rsidR="002E10BB">
        <w:rPr>
          <w:rFonts w:asciiTheme="majorHAnsi" w:hAnsiTheme="majorHAnsi"/>
          <w:sz w:val="20"/>
          <w:szCs w:val="20"/>
          <w:lang w:val="es-VE"/>
        </w:rPr>
        <w:t>de</w:t>
      </w:r>
      <w:r w:rsidR="003C3D97" w:rsidRPr="00EB4515">
        <w:rPr>
          <w:rFonts w:asciiTheme="majorHAnsi" w:hAnsiTheme="majorHAnsi"/>
          <w:sz w:val="20"/>
          <w:szCs w:val="20"/>
          <w:lang w:val="es-VE"/>
        </w:rPr>
        <w:t xml:space="preserve"> la conducta e idoneidad en el desempeño del cargo, considerando la producción jurisdiccional, méritos, informes de los Colegios y Asociaciones de Abogados y antecedentes sobre su conducta. Además, señaló que dentro de dicho proceso se le concedía una entrevista a los evaluados. </w:t>
      </w:r>
      <w:r w:rsidR="003C3D97" w:rsidRPr="002E10BB">
        <w:rPr>
          <w:rFonts w:asciiTheme="majorHAnsi" w:hAnsiTheme="majorHAnsi"/>
          <w:sz w:val="20"/>
          <w:szCs w:val="20"/>
          <w:lang w:val="es-VE"/>
        </w:rPr>
        <w:t xml:space="preserve">Indicó que con base en dichos elementos, el CNM adoptaba una decisión sobre la ratificación o no ratificación de los evaluados. Señaló que la separación del cargo no constituía pena, ni privaba de los derechos adquiridos conforme </w:t>
      </w:r>
      <w:r w:rsidR="008D6A52">
        <w:rPr>
          <w:rFonts w:asciiTheme="majorHAnsi" w:hAnsiTheme="majorHAnsi"/>
          <w:sz w:val="20"/>
          <w:szCs w:val="20"/>
          <w:lang w:val="es-VE"/>
        </w:rPr>
        <w:t xml:space="preserve">la </w:t>
      </w:r>
      <w:r w:rsidR="003C3D97" w:rsidRPr="002E10BB">
        <w:rPr>
          <w:rFonts w:asciiTheme="majorHAnsi" w:hAnsiTheme="majorHAnsi"/>
          <w:sz w:val="20"/>
          <w:szCs w:val="20"/>
          <w:lang w:val="es-VE"/>
        </w:rPr>
        <w:t>ley, existiendo la posibilidad de impugnar la resolución a t</w:t>
      </w:r>
      <w:r w:rsidR="00CD3235" w:rsidRPr="002E10BB">
        <w:rPr>
          <w:rFonts w:asciiTheme="majorHAnsi" w:hAnsiTheme="majorHAnsi"/>
          <w:sz w:val="20"/>
          <w:szCs w:val="20"/>
          <w:lang w:val="es-VE"/>
        </w:rPr>
        <w:t>ravés de recurso extraordinario</w:t>
      </w:r>
      <w:r w:rsidR="003C3D97" w:rsidRPr="002E10BB">
        <w:rPr>
          <w:rFonts w:asciiTheme="majorHAnsi" w:hAnsiTheme="majorHAnsi"/>
          <w:sz w:val="20"/>
          <w:szCs w:val="20"/>
          <w:lang w:val="es-VE"/>
        </w:rPr>
        <w:t xml:space="preserve"> y acción de amparo en caso </w:t>
      </w:r>
      <w:r w:rsidR="005E6DD8">
        <w:rPr>
          <w:rFonts w:asciiTheme="majorHAnsi" w:hAnsiTheme="majorHAnsi"/>
          <w:sz w:val="20"/>
          <w:szCs w:val="20"/>
          <w:lang w:val="es-VE"/>
        </w:rPr>
        <w:t xml:space="preserve">de </w:t>
      </w:r>
      <w:r w:rsidR="003C3D97" w:rsidRPr="002E10BB">
        <w:rPr>
          <w:rFonts w:asciiTheme="majorHAnsi" w:hAnsiTheme="majorHAnsi"/>
          <w:sz w:val="20"/>
          <w:szCs w:val="20"/>
          <w:lang w:val="es-VE"/>
        </w:rPr>
        <w:t>violación al debido proceso.</w:t>
      </w:r>
    </w:p>
    <w:p w14:paraId="4D4570C1" w14:textId="77777777" w:rsidR="003C3D97" w:rsidRDefault="003C3D97" w:rsidP="003C3D97">
      <w:pPr>
        <w:pStyle w:val="ListParagraph"/>
        <w:rPr>
          <w:rFonts w:asciiTheme="majorHAnsi" w:hAnsiTheme="majorHAnsi"/>
          <w:sz w:val="20"/>
          <w:szCs w:val="20"/>
          <w:lang w:val="es-VE"/>
        </w:rPr>
      </w:pPr>
    </w:p>
    <w:p w14:paraId="7C0380F7" w14:textId="77777777" w:rsidR="001736A0" w:rsidRPr="003C3D97" w:rsidRDefault="004B1244" w:rsidP="003C3D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Señaló</w:t>
      </w:r>
      <w:r w:rsidR="003C3D97">
        <w:rPr>
          <w:rFonts w:asciiTheme="majorHAnsi" w:hAnsiTheme="majorHAnsi"/>
          <w:sz w:val="20"/>
          <w:szCs w:val="20"/>
          <w:lang w:val="es-VE"/>
        </w:rPr>
        <w:t xml:space="preserve"> que a partir del año 2000, habiéndose cum</w:t>
      </w:r>
      <w:r w:rsidR="0040569F">
        <w:rPr>
          <w:rFonts w:asciiTheme="majorHAnsi" w:hAnsiTheme="majorHAnsi"/>
          <w:sz w:val="20"/>
          <w:szCs w:val="20"/>
          <w:lang w:val="es-VE"/>
        </w:rPr>
        <w:t>plido 7 años de vigencia de la C</w:t>
      </w:r>
      <w:r w:rsidR="003C3D97">
        <w:rPr>
          <w:rFonts w:asciiTheme="majorHAnsi" w:hAnsiTheme="majorHAnsi"/>
          <w:sz w:val="20"/>
          <w:szCs w:val="20"/>
          <w:lang w:val="es-VE"/>
        </w:rPr>
        <w:t xml:space="preserve">onstitución de 1993, se iniciaron las convocatorias a procesos de ratificación. En términos generales, adujo que dicho proceso </w:t>
      </w:r>
      <w:r w:rsidR="001736A0" w:rsidRPr="003C3D97">
        <w:rPr>
          <w:rFonts w:asciiTheme="majorHAnsi" w:hAnsiTheme="majorHAnsi"/>
          <w:sz w:val="20"/>
          <w:szCs w:val="20"/>
          <w:lang w:val="es-VE"/>
        </w:rPr>
        <w:t>resulta compatible con la Convención Americana, y su objetivo es reforzar la in</w:t>
      </w:r>
      <w:r w:rsidR="004E573F">
        <w:rPr>
          <w:rFonts w:asciiTheme="majorHAnsi" w:hAnsiTheme="majorHAnsi"/>
          <w:sz w:val="20"/>
          <w:szCs w:val="20"/>
          <w:lang w:val="es-VE"/>
        </w:rPr>
        <w:t xml:space="preserve">dependencia del Poder Judicial </w:t>
      </w:r>
      <w:r w:rsidR="001736A0" w:rsidRPr="003C3D97">
        <w:rPr>
          <w:rFonts w:asciiTheme="majorHAnsi" w:hAnsiTheme="majorHAnsi"/>
          <w:sz w:val="20"/>
          <w:szCs w:val="20"/>
          <w:lang w:val="es-VE"/>
        </w:rPr>
        <w:t>a través de</w:t>
      </w:r>
      <w:r w:rsidR="007A560B">
        <w:rPr>
          <w:rFonts w:asciiTheme="majorHAnsi" w:hAnsiTheme="majorHAnsi"/>
          <w:sz w:val="20"/>
          <w:szCs w:val="20"/>
          <w:lang w:val="es-VE"/>
        </w:rPr>
        <w:t xml:space="preserve"> la evaluación de jueces y fiscales por</w:t>
      </w:r>
      <w:r w:rsidR="001736A0" w:rsidRPr="003C3D97">
        <w:rPr>
          <w:rFonts w:asciiTheme="majorHAnsi" w:hAnsiTheme="majorHAnsi"/>
          <w:sz w:val="20"/>
          <w:szCs w:val="20"/>
          <w:lang w:val="es-VE"/>
        </w:rPr>
        <w:t xml:space="preserve"> un órgano autónomo.</w:t>
      </w:r>
    </w:p>
    <w:p w14:paraId="2D77704E" w14:textId="77777777" w:rsidR="001736A0"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630"/>
        <w:jc w:val="both"/>
        <w:rPr>
          <w:rFonts w:asciiTheme="majorHAnsi" w:hAnsiTheme="majorHAnsi"/>
          <w:sz w:val="20"/>
          <w:szCs w:val="20"/>
          <w:lang w:val="es-VE"/>
        </w:rPr>
      </w:pPr>
    </w:p>
    <w:p w14:paraId="5A1C1B74" w14:textId="77777777" w:rsidR="001736A0" w:rsidRPr="00E517C2"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El Estado reconoció que en un primer momento en los procesos de evaluación y ratificación se emitieron resoluciones inmotivadas</w:t>
      </w:r>
      <w:r w:rsidR="005F6AA4">
        <w:rPr>
          <w:rFonts w:asciiTheme="majorHAnsi" w:hAnsiTheme="majorHAnsi"/>
          <w:sz w:val="20"/>
          <w:szCs w:val="20"/>
          <w:lang w:val="es-VE"/>
        </w:rPr>
        <w:t xml:space="preserve"> y </w:t>
      </w:r>
      <w:r>
        <w:rPr>
          <w:rFonts w:asciiTheme="majorHAnsi" w:hAnsiTheme="majorHAnsi"/>
          <w:sz w:val="20"/>
          <w:szCs w:val="20"/>
          <w:lang w:val="es-VE"/>
        </w:rPr>
        <w:t>s</w:t>
      </w:r>
      <w:r w:rsidR="0058669D">
        <w:rPr>
          <w:rFonts w:asciiTheme="majorHAnsi" w:hAnsiTheme="majorHAnsi"/>
          <w:sz w:val="20"/>
          <w:szCs w:val="20"/>
          <w:lang w:val="es-VE"/>
        </w:rPr>
        <w:t>ó</w:t>
      </w:r>
      <w:r>
        <w:rPr>
          <w:rFonts w:asciiTheme="majorHAnsi" w:hAnsiTheme="majorHAnsi"/>
          <w:sz w:val="20"/>
          <w:szCs w:val="20"/>
          <w:lang w:val="es-VE"/>
        </w:rPr>
        <w:t xml:space="preserve">lo se entrevistó personalmente a los que el Pleno del Consejo dispuso de oficio o </w:t>
      </w:r>
      <w:r w:rsidR="00875DC6">
        <w:rPr>
          <w:rFonts w:asciiTheme="majorHAnsi" w:hAnsiTheme="majorHAnsi"/>
          <w:sz w:val="20"/>
          <w:szCs w:val="20"/>
          <w:lang w:val="es-VE"/>
        </w:rPr>
        <w:t>a</w:t>
      </w:r>
      <w:r>
        <w:rPr>
          <w:rFonts w:asciiTheme="majorHAnsi" w:hAnsiTheme="majorHAnsi"/>
          <w:sz w:val="20"/>
          <w:szCs w:val="20"/>
          <w:lang w:val="es-VE"/>
        </w:rPr>
        <w:t xml:space="preserve"> pedido expreso del propio magistrado</w:t>
      </w:r>
      <w:r w:rsidR="0058669D">
        <w:rPr>
          <w:rFonts w:asciiTheme="majorHAnsi" w:hAnsiTheme="majorHAnsi"/>
          <w:sz w:val="20"/>
          <w:szCs w:val="20"/>
          <w:lang w:val="es-VE"/>
        </w:rPr>
        <w:t xml:space="preserve"> y </w:t>
      </w:r>
      <w:r>
        <w:rPr>
          <w:rFonts w:asciiTheme="majorHAnsi" w:hAnsiTheme="majorHAnsi"/>
          <w:sz w:val="20"/>
          <w:szCs w:val="20"/>
          <w:lang w:val="es-VE"/>
        </w:rPr>
        <w:t>no se permitía la apelación.</w:t>
      </w:r>
      <w:r w:rsidR="008D6A52">
        <w:rPr>
          <w:rFonts w:asciiTheme="majorHAnsi" w:hAnsiTheme="majorHAnsi"/>
          <w:sz w:val="20"/>
          <w:szCs w:val="20"/>
          <w:lang w:val="es-VE"/>
        </w:rPr>
        <w:t xml:space="preserve"> </w:t>
      </w:r>
      <w:r>
        <w:rPr>
          <w:rFonts w:asciiTheme="majorHAnsi" w:hAnsiTheme="majorHAnsi"/>
          <w:sz w:val="20"/>
          <w:szCs w:val="20"/>
          <w:lang w:val="es-VE"/>
        </w:rPr>
        <w:t xml:space="preserve">Sin embargo, </w:t>
      </w:r>
      <w:r w:rsidRPr="00E517C2">
        <w:rPr>
          <w:rFonts w:asciiTheme="majorHAnsi" w:hAnsiTheme="majorHAnsi"/>
          <w:sz w:val="20"/>
          <w:szCs w:val="20"/>
          <w:lang w:val="es-VE"/>
        </w:rPr>
        <w:t xml:space="preserve">con posterioridad, a través de la Ley No. 28237 se añadió </w:t>
      </w:r>
      <w:r w:rsidR="00875DC6">
        <w:rPr>
          <w:rFonts w:asciiTheme="majorHAnsi" w:hAnsiTheme="majorHAnsi"/>
          <w:sz w:val="20"/>
          <w:szCs w:val="20"/>
          <w:lang w:val="es-VE"/>
        </w:rPr>
        <w:t>c</w:t>
      </w:r>
      <w:r w:rsidRPr="00E517C2">
        <w:rPr>
          <w:rFonts w:asciiTheme="majorHAnsi" w:hAnsiTheme="majorHAnsi"/>
          <w:sz w:val="20"/>
          <w:szCs w:val="20"/>
          <w:lang w:val="es-VE"/>
        </w:rPr>
        <w:t xml:space="preserve">omo requisito la motivación de las resoluciones de evaluación y ratificación, y se reconoció el derecho de impugnar dichas resoluciones si no han sido motivadas y/o si no se concedió el derecho de audiencia. Informó que </w:t>
      </w:r>
      <w:r w:rsidR="0058669D">
        <w:rPr>
          <w:rFonts w:asciiTheme="majorHAnsi" w:hAnsiTheme="majorHAnsi"/>
          <w:sz w:val="20"/>
          <w:szCs w:val="20"/>
          <w:lang w:val="es-VE"/>
        </w:rPr>
        <w:t>en 2005</w:t>
      </w:r>
      <w:r w:rsidRPr="00E517C2">
        <w:rPr>
          <w:rFonts w:asciiTheme="majorHAnsi" w:hAnsiTheme="majorHAnsi"/>
          <w:sz w:val="20"/>
          <w:szCs w:val="20"/>
          <w:lang w:val="es-VE"/>
        </w:rPr>
        <w:t xml:space="preserve"> se aprobó el Reglamento del Proceso de Evaluación y Ratificación de Jueces del Poder Judicial y Fiscales del Ministerio Público en el cual se reconoce la obligatoriedad de la motivación y entrevista personal con el magistrado</w:t>
      </w:r>
      <w:r w:rsidR="00631B7C">
        <w:rPr>
          <w:rFonts w:asciiTheme="majorHAnsi" w:hAnsiTheme="majorHAnsi"/>
          <w:sz w:val="20"/>
          <w:szCs w:val="20"/>
          <w:lang w:val="es-VE"/>
        </w:rPr>
        <w:t>.</w:t>
      </w:r>
    </w:p>
    <w:p w14:paraId="0356170C" w14:textId="77777777" w:rsidR="001736A0"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14:paraId="18BEDC09" w14:textId="77777777" w:rsidR="001736A0" w:rsidRPr="003B2B74"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En cuanto al derecho</w:t>
      </w:r>
      <w:r w:rsidR="0058554F">
        <w:rPr>
          <w:rFonts w:asciiTheme="majorHAnsi" w:hAnsiTheme="majorHAnsi"/>
          <w:sz w:val="20"/>
          <w:szCs w:val="20"/>
          <w:lang w:val="es-VE"/>
        </w:rPr>
        <w:t>,</w:t>
      </w:r>
      <w:r>
        <w:rPr>
          <w:rFonts w:asciiTheme="majorHAnsi" w:hAnsiTheme="majorHAnsi"/>
          <w:sz w:val="20"/>
          <w:szCs w:val="20"/>
          <w:lang w:val="es-VE"/>
        </w:rPr>
        <w:t xml:space="preserve"> el Estado reconoció </w:t>
      </w:r>
      <w:r w:rsidRPr="00843F5F">
        <w:rPr>
          <w:rFonts w:asciiTheme="majorHAnsi" w:hAnsiTheme="majorHAnsi"/>
          <w:sz w:val="20"/>
          <w:szCs w:val="20"/>
          <w:lang w:val="es-VE"/>
        </w:rPr>
        <w:t xml:space="preserve">violaciones a las </w:t>
      </w:r>
      <w:r w:rsidRPr="003B2B74">
        <w:rPr>
          <w:rFonts w:asciiTheme="majorHAnsi" w:hAnsiTheme="majorHAnsi"/>
          <w:b/>
          <w:sz w:val="20"/>
          <w:szCs w:val="20"/>
          <w:lang w:val="es-VE"/>
        </w:rPr>
        <w:t xml:space="preserve">garantías judiciales </w:t>
      </w:r>
      <w:r w:rsidRPr="00843F5F">
        <w:rPr>
          <w:rFonts w:asciiTheme="majorHAnsi" w:hAnsiTheme="majorHAnsi"/>
          <w:sz w:val="20"/>
          <w:szCs w:val="20"/>
          <w:lang w:val="es-VE"/>
        </w:rPr>
        <w:t>e indicó que n</w:t>
      </w:r>
      <w:r>
        <w:rPr>
          <w:rFonts w:asciiTheme="majorHAnsi" w:hAnsiTheme="majorHAnsi"/>
          <w:sz w:val="20"/>
          <w:szCs w:val="20"/>
          <w:lang w:val="es-VE"/>
        </w:rPr>
        <w:t xml:space="preserve">o violó el </w:t>
      </w:r>
      <w:r w:rsidRPr="003B2B74">
        <w:rPr>
          <w:rFonts w:asciiTheme="majorHAnsi" w:hAnsiTheme="majorHAnsi"/>
          <w:b/>
          <w:sz w:val="20"/>
          <w:szCs w:val="20"/>
          <w:lang w:val="es-VE"/>
        </w:rPr>
        <w:t>principio de legalidad</w:t>
      </w:r>
      <w:r>
        <w:rPr>
          <w:rFonts w:asciiTheme="majorHAnsi" w:hAnsiTheme="majorHAnsi"/>
          <w:sz w:val="20"/>
          <w:szCs w:val="20"/>
          <w:lang w:val="es-VE"/>
        </w:rPr>
        <w:t>,</w:t>
      </w:r>
      <w:r w:rsidR="008D6A52">
        <w:rPr>
          <w:rFonts w:asciiTheme="majorHAnsi" w:hAnsiTheme="majorHAnsi"/>
          <w:sz w:val="20"/>
          <w:szCs w:val="20"/>
          <w:lang w:val="es-VE"/>
        </w:rPr>
        <w:t xml:space="preserve"> lo</w:t>
      </w:r>
      <w:r>
        <w:rPr>
          <w:rFonts w:asciiTheme="majorHAnsi" w:hAnsiTheme="majorHAnsi"/>
          <w:sz w:val="20"/>
          <w:szCs w:val="20"/>
          <w:lang w:val="es-VE"/>
        </w:rPr>
        <w:t>s</w:t>
      </w:r>
      <w:r w:rsidRPr="00843F5F">
        <w:rPr>
          <w:rFonts w:asciiTheme="majorHAnsi" w:hAnsiTheme="majorHAnsi"/>
          <w:b/>
          <w:sz w:val="20"/>
          <w:szCs w:val="20"/>
          <w:lang w:val="es-VE"/>
        </w:rPr>
        <w:t xml:space="preserve"> derecho</w:t>
      </w:r>
      <w:r>
        <w:rPr>
          <w:rFonts w:asciiTheme="majorHAnsi" w:hAnsiTheme="majorHAnsi"/>
          <w:b/>
          <w:sz w:val="20"/>
          <w:szCs w:val="20"/>
          <w:lang w:val="es-VE"/>
        </w:rPr>
        <w:t>s</w:t>
      </w:r>
      <w:r w:rsidRPr="00843F5F">
        <w:rPr>
          <w:rFonts w:asciiTheme="majorHAnsi" w:hAnsiTheme="majorHAnsi"/>
          <w:b/>
          <w:sz w:val="20"/>
          <w:szCs w:val="20"/>
          <w:lang w:val="es-VE"/>
        </w:rPr>
        <w:t xml:space="preserve"> a la</w:t>
      </w:r>
      <w:r w:rsidR="008D6A52">
        <w:rPr>
          <w:rFonts w:asciiTheme="majorHAnsi" w:hAnsiTheme="majorHAnsi"/>
          <w:b/>
          <w:sz w:val="20"/>
          <w:szCs w:val="20"/>
          <w:lang w:val="es-VE"/>
        </w:rPr>
        <w:t xml:space="preserve"> </w:t>
      </w:r>
      <w:r w:rsidRPr="00843F5F">
        <w:rPr>
          <w:rFonts w:asciiTheme="majorHAnsi" w:hAnsiTheme="majorHAnsi"/>
          <w:b/>
          <w:sz w:val="20"/>
          <w:szCs w:val="20"/>
          <w:lang w:val="es-VE"/>
        </w:rPr>
        <w:t>protección judicial, derechos políticos y el deber de adoptar disposiciones de derecho interno</w:t>
      </w:r>
      <w:r w:rsidRPr="00843F5F">
        <w:rPr>
          <w:rFonts w:asciiTheme="majorHAnsi" w:hAnsiTheme="majorHAnsi"/>
          <w:sz w:val="20"/>
          <w:szCs w:val="20"/>
          <w:lang w:val="es-VE"/>
        </w:rPr>
        <w:t>.</w:t>
      </w:r>
    </w:p>
    <w:p w14:paraId="6D0C1358" w14:textId="77777777" w:rsidR="001736A0" w:rsidRDefault="001736A0" w:rsidP="001736A0">
      <w:pPr>
        <w:pStyle w:val="ListParagraph"/>
        <w:rPr>
          <w:rFonts w:asciiTheme="majorHAnsi" w:hAnsiTheme="majorHAnsi"/>
          <w:sz w:val="20"/>
          <w:szCs w:val="20"/>
          <w:lang w:val="es-VE"/>
        </w:rPr>
      </w:pPr>
    </w:p>
    <w:p w14:paraId="034EFB27" w14:textId="77777777" w:rsidR="001736A0" w:rsidRPr="00EF4235" w:rsidRDefault="001736A0" w:rsidP="00EF42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 xml:space="preserve">Con respecto a las </w:t>
      </w:r>
      <w:r w:rsidRPr="00843F5F">
        <w:rPr>
          <w:rFonts w:asciiTheme="majorHAnsi" w:hAnsiTheme="majorHAnsi"/>
          <w:b/>
          <w:sz w:val="20"/>
          <w:szCs w:val="20"/>
          <w:lang w:val="es-VE"/>
        </w:rPr>
        <w:t>garantías judiciales</w:t>
      </w:r>
      <w:r>
        <w:rPr>
          <w:rFonts w:asciiTheme="majorHAnsi" w:hAnsiTheme="majorHAnsi"/>
          <w:sz w:val="20"/>
          <w:szCs w:val="20"/>
          <w:lang w:val="es-VE"/>
        </w:rPr>
        <w:t>, refirió que la falta de motivación de las resoluciones del C</w:t>
      </w:r>
      <w:r w:rsidR="004F0D4A">
        <w:rPr>
          <w:rFonts w:asciiTheme="majorHAnsi" w:hAnsiTheme="majorHAnsi"/>
          <w:sz w:val="20"/>
          <w:szCs w:val="20"/>
          <w:lang w:val="es-VE"/>
        </w:rPr>
        <w:t>NM</w:t>
      </w:r>
      <w:r>
        <w:rPr>
          <w:rFonts w:asciiTheme="majorHAnsi" w:hAnsiTheme="majorHAnsi"/>
          <w:sz w:val="20"/>
          <w:szCs w:val="20"/>
          <w:lang w:val="es-VE"/>
        </w:rPr>
        <w:t xml:space="preserve"> afectó el debido proceso y por ello en</w:t>
      </w:r>
      <w:r w:rsidR="004F0D4A">
        <w:rPr>
          <w:rFonts w:asciiTheme="majorHAnsi" w:hAnsiTheme="majorHAnsi"/>
          <w:sz w:val="20"/>
          <w:szCs w:val="20"/>
          <w:lang w:val="es-VE"/>
        </w:rPr>
        <w:t xml:space="preserve"> otros</w:t>
      </w:r>
      <w:r>
        <w:rPr>
          <w:rFonts w:asciiTheme="majorHAnsi" w:hAnsiTheme="majorHAnsi"/>
          <w:sz w:val="20"/>
          <w:szCs w:val="20"/>
          <w:lang w:val="es-VE"/>
        </w:rPr>
        <w:t xml:space="preserve"> casos </w:t>
      </w:r>
      <w:r w:rsidR="004F0D4A">
        <w:rPr>
          <w:rFonts w:asciiTheme="majorHAnsi" w:hAnsiTheme="majorHAnsi"/>
          <w:sz w:val="20"/>
          <w:szCs w:val="20"/>
          <w:lang w:val="es-VE"/>
        </w:rPr>
        <w:t xml:space="preserve">se </w:t>
      </w:r>
      <w:r>
        <w:rPr>
          <w:rFonts w:asciiTheme="majorHAnsi" w:hAnsiTheme="majorHAnsi"/>
          <w:sz w:val="20"/>
          <w:szCs w:val="20"/>
          <w:lang w:val="es-VE"/>
        </w:rPr>
        <w:t xml:space="preserve">han iniciado procesos de solución amistosa. </w:t>
      </w:r>
      <w:r w:rsidRPr="004F0D4A">
        <w:rPr>
          <w:rFonts w:asciiTheme="majorHAnsi" w:hAnsiTheme="majorHAnsi"/>
          <w:sz w:val="20"/>
          <w:szCs w:val="20"/>
          <w:lang w:val="es-VE"/>
        </w:rPr>
        <w:t xml:space="preserve">En cuanto al </w:t>
      </w:r>
      <w:r w:rsidRPr="004F0D4A">
        <w:rPr>
          <w:rFonts w:asciiTheme="majorHAnsi" w:hAnsiTheme="majorHAnsi"/>
          <w:b/>
          <w:sz w:val="20"/>
          <w:szCs w:val="20"/>
          <w:lang w:val="es-VE"/>
        </w:rPr>
        <w:t>principio de legalidad</w:t>
      </w:r>
      <w:r w:rsidRPr="004F0D4A">
        <w:rPr>
          <w:rFonts w:asciiTheme="majorHAnsi" w:hAnsiTheme="majorHAnsi"/>
          <w:sz w:val="20"/>
          <w:szCs w:val="20"/>
          <w:lang w:val="es-VE"/>
        </w:rPr>
        <w:t xml:space="preserve">, el Estado indicó que no violó dicho derecho porque </w:t>
      </w:r>
      <w:r w:rsidRPr="004F0D4A">
        <w:rPr>
          <w:rFonts w:ascii="Cambria" w:hAnsi="Cambria"/>
          <w:sz w:val="20"/>
          <w:szCs w:val="20"/>
          <w:lang w:val="es-VE"/>
        </w:rPr>
        <w:t>la Constitución de 1979 contemplaba un mecanismo de evaluación permanente de los magistrados, a cargo de l</w:t>
      </w:r>
      <w:r w:rsidR="009B5916" w:rsidRPr="004F0D4A">
        <w:rPr>
          <w:rFonts w:ascii="Cambria" w:hAnsi="Cambria"/>
          <w:sz w:val="20"/>
          <w:szCs w:val="20"/>
          <w:lang w:val="es-VE"/>
        </w:rPr>
        <w:t>a Corte Suprema, por lo que la C</w:t>
      </w:r>
      <w:r w:rsidRPr="004F0D4A">
        <w:rPr>
          <w:rFonts w:ascii="Cambria" w:hAnsi="Cambria"/>
          <w:sz w:val="20"/>
          <w:szCs w:val="20"/>
          <w:lang w:val="es-VE"/>
        </w:rPr>
        <w:t>onstitución de 1993 solamente varió el órgano de control</w:t>
      </w:r>
      <w:r w:rsidR="00845A6B">
        <w:rPr>
          <w:rFonts w:ascii="Cambria" w:hAnsi="Cambria"/>
          <w:sz w:val="20"/>
          <w:szCs w:val="20"/>
          <w:lang w:val="es-VE"/>
        </w:rPr>
        <w:t xml:space="preserve"> </w:t>
      </w:r>
      <w:r w:rsidRPr="004F0D4A">
        <w:rPr>
          <w:rFonts w:ascii="Cambria" w:hAnsi="Cambria"/>
          <w:sz w:val="20"/>
          <w:szCs w:val="20"/>
          <w:lang w:val="es-VE"/>
        </w:rPr>
        <w:t>al CNM.</w:t>
      </w:r>
      <w:r w:rsidR="008D6A52">
        <w:rPr>
          <w:rFonts w:ascii="Cambria" w:hAnsi="Cambria"/>
          <w:sz w:val="20"/>
          <w:szCs w:val="20"/>
          <w:lang w:val="es-VE"/>
        </w:rPr>
        <w:t xml:space="preserve"> </w:t>
      </w:r>
      <w:r w:rsidRPr="00EF4235">
        <w:rPr>
          <w:rFonts w:asciiTheme="majorHAnsi" w:hAnsiTheme="majorHAnsi"/>
          <w:sz w:val="20"/>
          <w:szCs w:val="20"/>
          <w:lang w:val="es-VE"/>
        </w:rPr>
        <w:t>Con respecto a la</w:t>
      </w:r>
      <w:r w:rsidRPr="00EF4235">
        <w:rPr>
          <w:rFonts w:asciiTheme="majorHAnsi" w:hAnsiTheme="majorHAnsi"/>
          <w:b/>
          <w:sz w:val="20"/>
          <w:szCs w:val="20"/>
          <w:lang w:val="es-VE"/>
        </w:rPr>
        <w:t xml:space="preserve"> protección judicial</w:t>
      </w:r>
      <w:r w:rsidRPr="00EF4235">
        <w:rPr>
          <w:rFonts w:asciiTheme="majorHAnsi" w:hAnsiTheme="majorHAnsi"/>
          <w:sz w:val="20"/>
          <w:szCs w:val="20"/>
          <w:lang w:val="es-VE"/>
        </w:rPr>
        <w:t>, indicó que no se vulneró dicho derecho porque s</w:t>
      </w:r>
      <w:r w:rsidR="00DE2600">
        <w:rPr>
          <w:rFonts w:asciiTheme="majorHAnsi" w:hAnsiTheme="majorHAnsi"/>
          <w:sz w:val="20"/>
          <w:szCs w:val="20"/>
          <w:lang w:val="es-VE"/>
        </w:rPr>
        <w:t>í</w:t>
      </w:r>
      <w:r w:rsidRPr="00EF4235">
        <w:rPr>
          <w:rFonts w:asciiTheme="majorHAnsi" w:hAnsiTheme="majorHAnsi"/>
          <w:sz w:val="20"/>
          <w:szCs w:val="20"/>
          <w:lang w:val="es-VE"/>
        </w:rPr>
        <w:t xml:space="preserve"> existía un recurso disponible contra las decisiones del C</w:t>
      </w:r>
      <w:r w:rsidR="00DE2600">
        <w:rPr>
          <w:rFonts w:asciiTheme="majorHAnsi" w:hAnsiTheme="majorHAnsi"/>
          <w:sz w:val="20"/>
          <w:szCs w:val="20"/>
          <w:lang w:val="es-VE"/>
        </w:rPr>
        <w:t>NM</w:t>
      </w:r>
      <w:r w:rsidRPr="00EF4235">
        <w:rPr>
          <w:rFonts w:asciiTheme="majorHAnsi" w:hAnsiTheme="majorHAnsi"/>
          <w:sz w:val="20"/>
          <w:szCs w:val="20"/>
          <w:lang w:val="es-VE"/>
        </w:rPr>
        <w:t xml:space="preserve">. Refirió que algunas demandas de amparo </w:t>
      </w:r>
      <w:r w:rsidR="00DE2600">
        <w:rPr>
          <w:rFonts w:asciiTheme="majorHAnsi" w:hAnsiTheme="majorHAnsi"/>
          <w:sz w:val="20"/>
          <w:szCs w:val="20"/>
          <w:lang w:val="es-VE"/>
        </w:rPr>
        <w:t xml:space="preserve">fueron </w:t>
      </w:r>
      <w:r w:rsidRPr="00EF4235">
        <w:rPr>
          <w:rFonts w:asciiTheme="majorHAnsi" w:hAnsiTheme="majorHAnsi"/>
          <w:sz w:val="20"/>
          <w:szCs w:val="20"/>
          <w:lang w:val="es-VE"/>
        </w:rPr>
        <w:t>favorable</w:t>
      </w:r>
      <w:r w:rsidR="00DE2600">
        <w:rPr>
          <w:rFonts w:asciiTheme="majorHAnsi" w:hAnsiTheme="majorHAnsi"/>
          <w:sz w:val="20"/>
          <w:szCs w:val="20"/>
          <w:lang w:val="es-VE"/>
        </w:rPr>
        <w:t>s</w:t>
      </w:r>
      <w:r w:rsidRPr="00EF4235">
        <w:rPr>
          <w:rFonts w:ascii="Cambria" w:hAnsi="Cambria"/>
          <w:sz w:val="20"/>
          <w:szCs w:val="20"/>
          <w:lang w:val="es-VE"/>
        </w:rPr>
        <w:t xml:space="preserve">. </w:t>
      </w:r>
    </w:p>
    <w:p w14:paraId="0805B51A" w14:textId="77777777" w:rsidR="001736A0" w:rsidRDefault="001736A0" w:rsidP="001736A0">
      <w:pPr>
        <w:pStyle w:val="ListParagraph"/>
        <w:rPr>
          <w:sz w:val="20"/>
          <w:szCs w:val="20"/>
          <w:lang w:val="es-VE"/>
        </w:rPr>
      </w:pPr>
    </w:p>
    <w:p w14:paraId="5E01672F" w14:textId="77777777" w:rsidR="001736A0" w:rsidRPr="00C9703F" w:rsidRDefault="00F62BF4" w:rsidP="00C970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sz w:val="20"/>
          <w:szCs w:val="20"/>
          <w:lang w:val="es-VE"/>
        </w:rPr>
      </w:pPr>
      <w:r>
        <w:rPr>
          <w:rFonts w:ascii="Cambria" w:hAnsi="Cambria"/>
          <w:sz w:val="20"/>
          <w:szCs w:val="20"/>
          <w:lang w:val="es-VE"/>
        </w:rPr>
        <w:t>D</w:t>
      </w:r>
      <w:r w:rsidR="001736A0">
        <w:rPr>
          <w:rFonts w:ascii="Cambria" w:hAnsi="Cambria"/>
          <w:sz w:val="20"/>
          <w:szCs w:val="20"/>
          <w:lang w:val="es-VE"/>
        </w:rPr>
        <w:t xml:space="preserve">urante la etapa de admisibilidad el Estado reconoció violaciones a la protección judicial, indicando que en la época en que fueron separados de sus cargos Jorge Luis Cuya Lavy, Jean Aubert Díaz Alvarado y Marta Silvana Rodríguez Ricse no existía un recurso judicial o </w:t>
      </w:r>
      <w:r w:rsidR="001736A0" w:rsidRPr="003C3D97">
        <w:rPr>
          <w:rFonts w:ascii="Cambria" w:hAnsi="Cambria"/>
          <w:sz w:val="20"/>
          <w:szCs w:val="20"/>
          <w:lang w:val="es-VE"/>
        </w:rPr>
        <w:t>administrativo para cuestionar las resoluciones del Consejo Nacional de la Magistratura.</w:t>
      </w:r>
      <w:r w:rsidR="00C9703F">
        <w:rPr>
          <w:rFonts w:ascii="Cambria" w:hAnsi="Cambria"/>
          <w:sz w:val="20"/>
          <w:szCs w:val="20"/>
          <w:lang w:val="es-VE"/>
        </w:rPr>
        <w:t xml:space="preserve"> </w:t>
      </w:r>
      <w:r w:rsidR="001736A0" w:rsidRPr="00C9703F">
        <w:rPr>
          <w:rFonts w:ascii="Cambria" w:hAnsi="Cambria"/>
          <w:sz w:val="20"/>
          <w:szCs w:val="20"/>
          <w:lang w:val="es-VE"/>
        </w:rPr>
        <w:t>En la etapa de fondo, el Estado indicó que no vulneró el derecho a la protección judicial en perjuicio de Jean Aubert Díaz Alvarado y Marta Silvana Rodriguez Ricse, tomando en cuenta que no agotaron recursos internos al no plantear su demanda de amparo pues a pesar</w:t>
      </w:r>
      <w:r w:rsidR="009B5916" w:rsidRPr="00C9703F">
        <w:rPr>
          <w:rFonts w:ascii="Cambria" w:hAnsi="Cambria"/>
          <w:sz w:val="20"/>
          <w:szCs w:val="20"/>
          <w:lang w:val="es-VE"/>
        </w:rPr>
        <w:t xml:space="preserve"> de</w:t>
      </w:r>
      <w:r w:rsidR="001736A0" w:rsidRPr="00C9703F">
        <w:rPr>
          <w:rFonts w:ascii="Cambria" w:hAnsi="Cambria"/>
          <w:sz w:val="20"/>
          <w:szCs w:val="20"/>
          <w:lang w:val="es-VE"/>
        </w:rPr>
        <w:t xml:space="preserve"> que existía la prohibición de presentar recursos en contra de la resoluciones del CNM, </w:t>
      </w:r>
      <w:r w:rsidR="009B5916" w:rsidRPr="00C9703F">
        <w:rPr>
          <w:rFonts w:ascii="Cambria" w:hAnsi="Cambria"/>
          <w:sz w:val="20"/>
          <w:szCs w:val="20"/>
          <w:lang w:val="es-VE"/>
        </w:rPr>
        <w:t xml:space="preserve">los jueces efectuaban </w:t>
      </w:r>
      <w:r w:rsidR="001736A0" w:rsidRPr="00C9703F">
        <w:rPr>
          <w:rFonts w:ascii="Cambria" w:hAnsi="Cambria"/>
          <w:sz w:val="20"/>
          <w:szCs w:val="20"/>
          <w:lang w:val="es-VE"/>
        </w:rPr>
        <w:t>una interpretación con base en los tratados internacionales sobre derechos humanos ratificados por Perú, lo que permitió en otros casos la nulidad de las resoluciones y la reincorporación de los magistrados.</w:t>
      </w:r>
    </w:p>
    <w:p w14:paraId="76E06482" w14:textId="77777777" w:rsidR="001736A0" w:rsidRPr="00CE38E6" w:rsidRDefault="001736A0" w:rsidP="001736A0">
      <w:pPr>
        <w:rPr>
          <w:rFonts w:asciiTheme="majorHAnsi" w:hAnsiTheme="majorHAnsi"/>
          <w:sz w:val="20"/>
          <w:szCs w:val="20"/>
          <w:lang w:val="es-VE"/>
        </w:rPr>
      </w:pPr>
    </w:p>
    <w:p w14:paraId="197CB61B" w14:textId="77777777" w:rsidR="00FA55CE" w:rsidRPr="00A3646B" w:rsidRDefault="001736A0" w:rsidP="00A364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lang w:val="es-VE"/>
        </w:rPr>
      </w:pPr>
      <w:r>
        <w:rPr>
          <w:rFonts w:asciiTheme="majorHAnsi" w:hAnsiTheme="majorHAnsi"/>
          <w:sz w:val="20"/>
          <w:szCs w:val="20"/>
          <w:lang w:val="es-VE"/>
        </w:rPr>
        <w:t xml:space="preserve">En cuanto a los </w:t>
      </w:r>
      <w:r w:rsidRPr="00E514E6">
        <w:rPr>
          <w:rFonts w:asciiTheme="majorHAnsi" w:hAnsiTheme="majorHAnsi"/>
          <w:b/>
          <w:sz w:val="20"/>
          <w:szCs w:val="20"/>
          <w:lang w:val="es-VE"/>
        </w:rPr>
        <w:t>derechos políticos</w:t>
      </w:r>
      <w:r>
        <w:rPr>
          <w:rFonts w:asciiTheme="majorHAnsi" w:hAnsiTheme="majorHAnsi"/>
          <w:sz w:val="20"/>
          <w:szCs w:val="20"/>
          <w:lang w:val="es-VE"/>
        </w:rPr>
        <w:t xml:space="preserve">, refirió que la ratificación era un voto de confianza, y si bien la legislación establecía que los no ratificados no </w:t>
      </w:r>
      <w:r w:rsidRPr="009E45B9">
        <w:rPr>
          <w:rFonts w:asciiTheme="majorHAnsi" w:hAnsiTheme="majorHAnsi"/>
          <w:sz w:val="20"/>
          <w:szCs w:val="20"/>
          <w:lang w:val="es-VE"/>
        </w:rPr>
        <w:t>podían reingresar a la carrera judicial, e</w:t>
      </w:r>
      <w:r w:rsidR="00A3646B">
        <w:rPr>
          <w:rFonts w:asciiTheme="majorHAnsi" w:hAnsiTheme="majorHAnsi"/>
          <w:sz w:val="20"/>
          <w:szCs w:val="20"/>
          <w:lang w:val="es-VE"/>
        </w:rPr>
        <w:t>n 2003 el</w:t>
      </w:r>
      <w:r w:rsidRPr="009E45B9">
        <w:rPr>
          <w:rFonts w:asciiTheme="majorHAnsi" w:hAnsiTheme="majorHAnsi"/>
          <w:sz w:val="20"/>
          <w:szCs w:val="20"/>
          <w:lang w:val="es-VE"/>
        </w:rPr>
        <w:t xml:space="preserve"> Tribunal Constitucional refirió que la no ratificación no podía significar la imposibilidad de reingreso al poder judicial.</w:t>
      </w:r>
      <w:r>
        <w:rPr>
          <w:rFonts w:asciiTheme="majorHAnsi" w:hAnsiTheme="majorHAnsi"/>
          <w:sz w:val="20"/>
          <w:szCs w:val="20"/>
          <w:lang w:val="es-VE"/>
        </w:rPr>
        <w:t xml:space="preserve"> </w:t>
      </w:r>
      <w:r w:rsidRPr="00A3646B">
        <w:rPr>
          <w:rFonts w:asciiTheme="majorHAnsi" w:hAnsiTheme="majorHAnsi"/>
          <w:sz w:val="20"/>
          <w:szCs w:val="20"/>
          <w:lang w:val="es-VE"/>
        </w:rPr>
        <w:t xml:space="preserve">El Estado también argumentó que no incumplió con </w:t>
      </w:r>
      <w:r w:rsidRPr="00A3646B">
        <w:rPr>
          <w:rFonts w:asciiTheme="majorHAnsi" w:hAnsiTheme="majorHAnsi"/>
          <w:b/>
          <w:sz w:val="20"/>
          <w:szCs w:val="20"/>
          <w:lang w:val="es-VE"/>
        </w:rPr>
        <w:t>su deber de adoptar disposiciones de derecho interno</w:t>
      </w:r>
      <w:r w:rsidRPr="00A3646B">
        <w:rPr>
          <w:rFonts w:asciiTheme="majorHAnsi" w:hAnsiTheme="majorHAnsi"/>
          <w:sz w:val="20"/>
          <w:szCs w:val="20"/>
          <w:lang w:val="es-VE"/>
        </w:rPr>
        <w:t xml:space="preserve"> porque el procedimiento de evaluación y ratificación de jueces y fiscales es compatible con la Convención Americana. </w:t>
      </w:r>
    </w:p>
    <w:p w14:paraId="6062EC6B" w14:textId="77777777" w:rsidR="00FA55CE" w:rsidRPr="00776B4C" w:rsidRDefault="00FA55CE" w:rsidP="008266A7">
      <w:pPr>
        <w:pStyle w:val="ListParagraph"/>
        <w:rPr>
          <w:rFonts w:asciiTheme="majorHAnsi" w:hAnsiTheme="majorHAnsi"/>
          <w:color w:val="FF0000"/>
          <w:sz w:val="20"/>
          <w:szCs w:val="20"/>
          <w:lang w:val="es-AR"/>
        </w:rPr>
      </w:pPr>
    </w:p>
    <w:p w14:paraId="4E14B111" w14:textId="77777777" w:rsidR="001736A0" w:rsidRDefault="00D12193" w:rsidP="001736A0">
      <w:pPr>
        <w:pStyle w:val="Heading1"/>
        <w:spacing w:before="0"/>
        <w:ind w:hanging="90"/>
        <w:rPr>
          <w:color w:val="auto"/>
          <w:sz w:val="20"/>
          <w:szCs w:val="20"/>
          <w:lang w:val="es-ES_tradnl"/>
        </w:rPr>
      </w:pPr>
      <w:bookmarkStart w:id="5" w:name="_Toc527450119"/>
      <w:r w:rsidRPr="00776B4C">
        <w:rPr>
          <w:color w:val="auto"/>
          <w:sz w:val="20"/>
          <w:szCs w:val="20"/>
          <w:lang w:val="es-ES_tradnl"/>
        </w:rPr>
        <w:t>DETERMINACIONES DE HECHO</w:t>
      </w:r>
      <w:bookmarkEnd w:id="5"/>
    </w:p>
    <w:p w14:paraId="0AD9BE1C" w14:textId="77777777" w:rsidR="00EF23CA" w:rsidRPr="00EF23CA" w:rsidRDefault="00EF23CA" w:rsidP="00EF23CA">
      <w:pPr>
        <w:rPr>
          <w:lang w:val="es-ES_tradnl"/>
        </w:rPr>
      </w:pPr>
    </w:p>
    <w:p w14:paraId="5E5EDEFC" w14:textId="77777777" w:rsidR="0065706A" w:rsidRDefault="006C61AD" w:rsidP="003E17D7">
      <w:pPr>
        <w:pStyle w:val="Heading2"/>
        <w:numPr>
          <w:ilvl w:val="0"/>
          <w:numId w:val="57"/>
        </w:numPr>
        <w:spacing w:before="0" w:after="0"/>
        <w:ind w:left="1440" w:hanging="810"/>
        <w:rPr>
          <w:rFonts w:asciiTheme="majorHAnsi" w:hAnsiTheme="majorHAnsi"/>
          <w:i w:val="0"/>
          <w:sz w:val="20"/>
          <w:szCs w:val="20"/>
          <w:lang w:val="es-ES_tradnl"/>
        </w:rPr>
      </w:pPr>
      <w:bookmarkStart w:id="6" w:name="_Toc527450120"/>
      <w:r>
        <w:rPr>
          <w:rFonts w:asciiTheme="majorHAnsi" w:hAnsiTheme="majorHAnsi"/>
          <w:i w:val="0"/>
          <w:sz w:val="20"/>
          <w:szCs w:val="20"/>
          <w:lang w:val="es-ES_tradnl"/>
        </w:rPr>
        <w:t>M</w:t>
      </w:r>
      <w:r w:rsidR="0065706A">
        <w:rPr>
          <w:rFonts w:asciiTheme="majorHAnsi" w:hAnsiTheme="majorHAnsi"/>
          <w:i w:val="0"/>
          <w:sz w:val="20"/>
          <w:szCs w:val="20"/>
          <w:lang w:val="es-ES_tradnl"/>
        </w:rPr>
        <w:t>arco normativo relevante</w:t>
      </w:r>
      <w:bookmarkEnd w:id="6"/>
      <w:r w:rsidR="0065706A">
        <w:rPr>
          <w:rFonts w:asciiTheme="majorHAnsi" w:hAnsiTheme="majorHAnsi"/>
          <w:i w:val="0"/>
          <w:sz w:val="20"/>
          <w:szCs w:val="20"/>
          <w:lang w:val="es-ES_tradnl"/>
        </w:rPr>
        <w:t xml:space="preserve"> </w:t>
      </w:r>
    </w:p>
    <w:p w14:paraId="789D46D4" w14:textId="77777777" w:rsidR="0065706A" w:rsidRDefault="0065706A" w:rsidP="0065706A">
      <w:pPr>
        <w:ind w:firstLine="720"/>
        <w:jc w:val="both"/>
        <w:rPr>
          <w:lang w:val="es-ES_tradnl"/>
        </w:rPr>
      </w:pPr>
    </w:p>
    <w:p w14:paraId="44B338B0" w14:textId="77777777" w:rsidR="0065706A" w:rsidRPr="004E0B09" w:rsidRDefault="00015071" w:rsidP="0065706A">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VE"/>
        </w:rPr>
        <w:t>L</w:t>
      </w:r>
      <w:r w:rsidR="0065706A">
        <w:rPr>
          <w:rFonts w:asciiTheme="majorHAnsi" w:hAnsiTheme="majorHAnsi"/>
          <w:sz w:val="20"/>
          <w:lang w:val="es-VE"/>
        </w:rPr>
        <w:t>as presuntas víctimas fueron cesadas de sus cargos como consecuencia del procedimiento de evaluación y ratificación de jueces y fiscales, que se encontraba regulado en la Constitución Política, en la Ley Orgánica del C</w:t>
      </w:r>
      <w:r w:rsidR="003E25F9">
        <w:rPr>
          <w:rFonts w:asciiTheme="majorHAnsi" w:hAnsiTheme="majorHAnsi"/>
          <w:sz w:val="20"/>
          <w:lang w:val="es-VE"/>
        </w:rPr>
        <w:t>NM</w:t>
      </w:r>
      <w:r w:rsidR="0065706A">
        <w:rPr>
          <w:rFonts w:asciiTheme="majorHAnsi" w:hAnsiTheme="majorHAnsi"/>
          <w:sz w:val="20"/>
          <w:lang w:val="es-VE"/>
        </w:rPr>
        <w:t xml:space="preserve"> y en el Reglamento del Proceso de Evaluación y Ratificación de Jueces del Poder Judicial y Fiscales del Ministerio Público, cuyas normas más importantes se citan a continuación.</w:t>
      </w:r>
    </w:p>
    <w:p w14:paraId="2A929394" w14:textId="77777777" w:rsidR="0065706A" w:rsidRPr="004E0B09" w:rsidRDefault="0065706A" w:rsidP="0065706A">
      <w:pPr>
        <w:pStyle w:val="ListParagraph"/>
        <w:tabs>
          <w:tab w:val="left" w:pos="1440"/>
        </w:tabs>
        <w:ind w:left="630"/>
        <w:jc w:val="both"/>
        <w:rPr>
          <w:rFonts w:asciiTheme="majorHAnsi" w:hAnsiTheme="majorHAnsi"/>
          <w:sz w:val="20"/>
          <w:lang w:val="es-ES_tradnl"/>
        </w:rPr>
      </w:pPr>
    </w:p>
    <w:p w14:paraId="54344DDC" w14:textId="77777777" w:rsidR="0065706A" w:rsidRDefault="0065706A" w:rsidP="0065706A">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ES_tradnl"/>
        </w:rPr>
        <w:t xml:space="preserve">La Constitución Política </w:t>
      </w:r>
      <w:r w:rsidR="000F362F">
        <w:rPr>
          <w:rFonts w:asciiTheme="majorHAnsi" w:hAnsiTheme="majorHAnsi"/>
          <w:sz w:val="20"/>
          <w:lang w:val="es-ES_tradnl"/>
        </w:rPr>
        <w:t>establece</w:t>
      </w:r>
      <w:r>
        <w:rPr>
          <w:rFonts w:asciiTheme="majorHAnsi" w:hAnsiTheme="majorHAnsi"/>
          <w:sz w:val="20"/>
          <w:lang w:val="es-ES_tradnl"/>
        </w:rPr>
        <w:t xml:space="preserve"> en los artículos conducentes que: </w:t>
      </w:r>
    </w:p>
    <w:p w14:paraId="759BDA7E" w14:textId="77777777" w:rsidR="0065706A" w:rsidRPr="00161E50" w:rsidRDefault="0065706A" w:rsidP="0065706A">
      <w:pPr>
        <w:tabs>
          <w:tab w:val="left" w:pos="1440"/>
        </w:tabs>
        <w:jc w:val="both"/>
        <w:rPr>
          <w:rFonts w:asciiTheme="majorHAnsi" w:hAnsiTheme="majorHAnsi"/>
          <w:sz w:val="20"/>
          <w:lang w:val="es-ES_tradnl"/>
        </w:rPr>
      </w:pPr>
    </w:p>
    <w:p w14:paraId="771A115A" w14:textId="77777777" w:rsidR="0065706A" w:rsidRDefault="0065706A" w:rsidP="00E166DE">
      <w:pPr>
        <w:pStyle w:val="ListParagraph"/>
        <w:tabs>
          <w:tab w:val="left" w:pos="1440"/>
        </w:tabs>
        <w:ind w:left="630" w:right="720"/>
        <w:jc w:val="both"/>
        <w:rPr>
          <w:rFonts w:asciiTheme="majorHAnsi" w:hAnsiTheme="majorHAnsi"/>
          <w:sz w:val="20"/>
          <w:lang w:val="es-ES_tradnl"/>
        </w:rPr>
      </w:pPr>
      <w:r>
        <w:rPr>
          <w:rFonts w:asciiTheme="majorHAnsi" w:hAnsiTheme="majorHAnsi"/>
          <w:sz w:val="20"/>
          <w:lang w:val="es-ES_tradnl"/>
        </w:rPr>
        <w:t>Artículo 154. Atribuciones del Consejo Nacional de la Magistratura. Son funciones del Consejo Nacional de la Magistratura:</w:t>
      </w:r>
    </w:p>
    <w:p w14:paraId="3E189405" w14:textId="77777777" w:rsidR="0065706A" w:rsidRDefault="0065706A" w:rsidP="00E166DE">
      <w:pPr>
        <w:pStyle w:val="ListParagraph"/>
        <w:tabs>
          <w:tab w:val="left" w:pos="1440"/>
        </w:tabs>
        <w:ind w:left="630" w:right="720"/>
        <w:jc w:val="both"/>
        <w:rPr>
          <w:rFonts w:asciiTheme="majorHAnsi" w:hAnsiTheme="majorHAnsi"/>
          <w:sz w:val="20"/>
          <w:lang w:val="es-ES_tradnl"/>
        </w:rPr>
      </w:pPr>
    </w:p>
    <w:p w14:paraId="4FF35410" w14:textId="77777777" w:rsidR="0065706A" w:rsidRPr="00161E50" w:rsidRDefault="0065706A" w:rsidP="00E166DE">
      <w:pPr>
        <w:pStyle w:val="ListParagraph"/>
        <w:tabs>
          <w:tab w:val="left" w:pos="1440"/>
        </w:tabs>
        <w:ind w:left="630" w:right="720"/>
        <w:jc w:val="both"/>
        <w:rPr>
          <w:rFonts w:asciiTheme="majorHAnsi" w:hAnsiTheme="majorHAnsi"/>
          <w:sz w:val="20"/>
          <w:lang w:val="es-ES_tradnl"/>
        </w:rPr>
      </w:pPr>
      <w:r>
        <w:rPr>
          <w:rFonts w:asciiTheme="majorHAnsi" w:hAnsiTheme="majorHAnsi"/>
          <w:sz w:val="20"/>
          <w:lang w:val="es-ES_tradnl"/>
        </w:rPr>
        <w:t xml:space="preserve"> (</w:t>
      </w:r>
      <w:r w:rsidRPr="004327D7">
        <w:rPr>
          <w:rFonts w:asciiTheme="majorHAnsi" w:hAnsiTheme="majorHAnsi"/>
          <w:sz w:val="20"/>
          <w:lang w:val="es-ES_tradnl"/>
        </w:rPr>
        <w:t>…</w:t>
      </w:r>
      <w:r>
        <w:rPr>
          <w:rFonts w:asciiTheme="majorHAnsi" w:hAnsiTheme="majorHAnsi"/>
          <w:sz w:val="20"/>
          <w:lang w:val="es-ES_tradnl"/>
        </w:rPr>
        <w:t>)</w:t>
      </w:r>
      <w:r w:rsidRPr="004327D7">
        <w:rPr>
          <w:rFonts w:asciiTheme="majorHAnsi" w:hAnsiTheme="majorHAnsi"/>
          <w:sz w:val="20"/>
          <w:lang w:val="es-ES_tradnl"/>
        </w:rPr>
        <w:t xml:space="preserve"> 2. Ratificar a los jueces y fiscales de to</w:t>
      </w:r>
      <w:r>
        <w:rPr>
          <w:rFonts w:asciiTheme="majorHAnsi" w:hAnsiTheme="majorHAnsi"/>
          <w:sz w:val="20"/>
          <w:lang w:val="es-ES_tradnl"/>
        </w:rPr>
        <w:t>dos los niveles cada siete años. Los no ratificados no pueden reingresar al Poder Judicial ni al Ministerio Público. El proceso de ratificación es independiente de las medidas disciplinarias</w:t>
      </w:r>
      <w:r w:rsidRPr="00161E50">
        <w:rPr>
          <w:rFonts w:asciiTheme="majorHAnsi" w:hAnsiTheme="majorHAnsi"/>
          <w:sz w:val="20"/>
          <w:lang w:val="es-ES_tradnl"/>
        </w:rPr>
        <w:t>.</w:t>
      </w:r>
    </w:p>
    <w:p w14:paraId="44ECD842" w14:textId="77777777" w:rsidR="0065706A" w:rsidRPr="00B2370C" w:rsidRDefault="0065706A" w:rsidP="00E166DE">
      <w:pPr>
        <w:tabs>
          <w:tab w:val="left" w:pos="1440"/>
        </w:tabs>
        <w:ind w:right="720"/>
        <w:jc w:val="both"/>
        <w:rPr>
          <w:rFonts w:asciiTheme="majorHAnsi" w:hAnsiTheme="majorHAnsi"/>
          <w:sz w:val="20"/>
          <w:lang w:val="es-ES_tradnl"/>
        </w:rPr>
      </w:pPr>
    </w:p>
    <w:p w14:paraId="4D312BC6" w14:textId="77777777" w:rsidR="0065706A" w:rsidRPr="00B2370C" w:rsidRDefault="0065706A" w:rsidP="00E166DE">
      <w:pPr>
        <w:pStyle w:val="ListParagraph"/>
        <w:tabs>
          <w:tab w:val="left" w:pos="1440"/>
        </w:tabs>
        <w:ind w:left="630" w:right="720"/>
        <w:jc w:val="both"/>
        <w:rPr>
          <w:lang w:val="es-VE"/>
        </w:rPr>
      </w:pPr>
      <w:r>
        <w:rPr>
          <w:rFonts w:asciiTheme="majorHAnsi" w:hAnsiTheme="majorHAnsi"/>
          <w:sz w:val="20"/>
          <w:lang w:val="es-ES_tradnl"/>
        </w:rPr>
        <w:t>Artículo 142. Resoluciones no revisables por el Poder Judicial. No son revisables en sede judicial las resoluciones del Jurado Nacional de Elecciones en materia electoral, ni las del Consejo Nacional de la Magistratura en materia de evaluación y ratificación de jueces</w:t>
      </w:r>
      <w:r>
        <w:rPr>
          <w:rStyle w:val="FootnoteReference"/>
          <w:rFonts w:asciiTheme="majorHAnsi" w:hAnsiTheme="majorHAnsi"/>
          <w:sz w:val="20"/>
          <w:lang w:val="es-ES_tradnl"/>
        </w:rPr>
        <w:footnoteReference w:id="4"/>
      </w:r>
      <w:r w:rsidRPr="00B2370C">
        <w:rPr>
          <w:rFonts w:asciiTheme="majorHAnsi" w:hAnsiTheme="majorHAnsi"/>
          <w:sz w:val="20"/>
          <w:lang w:val="es-ES_tradnl"/>
        </w:rPr>
        <w:t>.</w:t>
      </w:r>
    </w:p>
    <w:p w14:paraId="726935ED" w14:textId="77777777" w:rsidR="0065706A" w:rsidRDefault="0065706A" w:rsidP="0065706A">
      <w:pPr>
        <w:pStyle w:val="ListParagraph"/>
        <w:tabs>
          <w:tab w:val="left" w:pos="1440"/>
        </w:tabs>
        <w:ind w:left="630"/>
        <w:jc w:val="both"/>
        <w:rPr>
          <w:rFonts w:asciiTheme="majorHAnsi" w:hAnsiTheme="majorHAnsi"/>
          <w:sz w:val="20"/>
          <w:lang w:val="es-ES_tradnl"/>
        </w:rPr>
      </w:pPr>
    </w:p>
    <w:p w14:paraId="4946AD9F" w14:textId="77777777" w:rsidR="0065706A" w:rsidRDefault="005F6AA4" w:rsidP="0065706A">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ES_tradnl"/>
        </w:rPr>
        <w:t>Por su parte, la Ley Orgánica</w:t>
      </w:r>
      <w:r w:rsidR="0065706A">
        <w:rPr>
          <w:rFonts w:asciiTheme="majorHAnsi" w:hAnsiTheme="majorHAnsi"/>
          <w:sz w:val="20"/>
          <w:lang w:val="es-ES_tradnl"/>
        </w:rPr>
        <w:t xml:space="preserve"> del Consejo Nacional de la Magistratura </w:t>
      </w:r>
      <w:r w:rsidR="000F362F">
        <w:rPr>
          <w:rFonts w:asciiTheme="majorHAnsi" w:hAnsiTheme="majorHAnsi"/>
          <w:sz w:val="20"/>
          <w:lang w:val="es-ES_tradnl"/>
        </w:rPr>
        <w:t>indica</w:t>
      </w:r>
      <w:r w:rsidR="0065706A">
        <w:rPr>
          <w:rFonts w:asciiTheme="majorHAnsi" w:hAnsiTheme="majorHAnsi"/>
          <w:sz w:val="20"/>
          <w:lang w:val="es-ES_tradnl"/>
        </w:rPr>
        <w:t xml:space="preserve"> en lo pertinente: </w:t>
      </w:r>
    </w:p>
    <w:p w14:paraId="377F9596" w14:textId="77777777" w:rsidR="0065706A" w:rsidRDefault="0065706A" w:rsidP="0065706A">
      <w:pPr>
        <w:pStyle w:val="ListParagraph"/>
        <w:tabs>
          <w:tab w:val="left" w:pos="1440"/>
        </w:tabs>
        <w:ind w:left="630"/>
        <w:jc w:val="both"/>
        <w:rPr>
          <w:rFonts w:asciiTheme="majorHAnsi" w:hAnsiTheme="majorHAnsi"/>
          <w:sz w:val="20"/>
          <w:lang w:val="es-ES_tradnl"/>
        </w:rPr>
      </w:pPr>
    </w:p>
    <w:p w14:paraId="349A79C1" w14:textId="77777777" w:rsidR="0065706A" w:rsidRPr="00BC266C" w:rsidRDefault="0065706A" w:rsidP="00BC266C">
      <w:pPr>
        <w:pStyle w:val="ListParagraph"/>
        <w:tabs>
          <w:tab w:val="left" w:pos="1440"/>
        </w:tabs>
        <w:ind w:left="630" w:right="720"/>
        <w:jc w:val="both"/>
        <w:rPr>
          <w:rFonts w:asciiTheme="majorHAnsi" w:hAnsiTheme="majorHAnsi"/>
          <w:sz w:val="20"/>
          <w:lang w:val="es-ES_tradnl"/>
        </w:rPr>
      </w:pPr>
      <w:r w:rsidRPr="00BD3C07">
        <w:rPr>
          <w:rFonts w:asciiTheme="majorHAnsi" w:hAnsiTheme="majorHAnsi"/>
          <w:sz w:val="20"/>
          <w:lang w:val="es-ES_tradnl"/>
        </w:rPr>
        <w:t>Artículo 2º.- Compete al Consejo Nacional de la Magistratura la selección, nombramiento, ratificación y destitución de los jueces y fiscales de todos los niveles, salvo cuando éstos provengan de elección popular, en cuyo caso sólo está facultado para extender el título y aplicar la sanción de destitución cuando corresponda conforme a ley. No son revisables en sede judicial las decisiones sobre las materias a que se refiere el párrafo anterior. Sus decisiones son inimpugnables</w:t>
      </w:r>
      <w:r>
        <w:rPr>
          <w:rFonts w:asciiTheme="majorHAnsi" w:hAnsiTheme="majorHAnsi"/>
          <w:sz w:val="20"/>
          <w:lang w:val="es-ES_tradnl"/>
        </w:rPr>
        <w:t>.</w:t>
      </w:r>
    </w:p>
    <w:p w14:paraId="253DA7EC" w14:textId="77777777" w:rsidR="0065706A" w:rsidRPr="00861B5A" w:rsidRDefault="0065706A" w:rsidP="00E166DE">
      <w:pPr>
        <w:pStyle w:val="ListParagraph"/>
        <w:tabs>
          <w:tab w:val="left" w:pos="1440"/>
        </w:tabs>
        <w:ind w:left="630" w:right="720"/>
        <w:jc w:val="both"/>
        <w:rPr>
          <w:rFonts w:asciiTheme="majorHAnsi" w:hAnsiTheme="majorHAnsi"/>
          <w:sz w:val="20"/>
          <w:lang w:val="es-ES_tradnl"/>
        </w:rPr>
      </w:pPr>
      <w:r>
        <w:rPr>
          <w:rFonts w:asciiTheme="majorHAnsi" w:hAnsiTheme="majorHAnsi"/>
          <w:sz w:val="20"/>
          <w:lang w:val="es-ES_tradnl"/>
        </w:rPr>
        <w:t xml:space="preserve">Artículo 30. </w:t>
      </w:r>
      <w:r w:rsidRPr="00761298">
        <w:rPr>
          <w:rFonts w:asciiTheme="majorHAnsi" w:hAnsiTheme="majorHAnsi"/>
          <w:sz w:val="20"/>
          <w:lang w:val="es-ES_tradnl"/>
        </w:rPr>
        <w:t xml:space="preserve">A efectos de la ratificación de jueces </w:t>
      </w:r>
      <w:r>
        <w:rPr>
          <w:rFonts w:asciiTheme="majorHAnsi" w:hAnsiTheme="majorHAnsi"/>
          <w:sz w:val="20"/>
          <w:lang w:val="es-ES_tradnl"/>
        </w:rPr>
        <w:t xml:space="preserve">y Fiscales a que se refiere el inciso b) del Artículo 21 de la presente Ley, el Consejo Nacional </w:t>
      </w:r>
      <w:r w:rsidRPr="00892B5F">
        <w:rPr>
          <w:rFonts w:asciiTheme="majorHAnsi" w:hAnsiTheme="majorHAnsi"/>
          <w:sz w:val="20"/>
          <w:lang w:val="es-ES_tradnl"/>
        </w:rPr>
        <w:t>de la Magistratura evalúa la conducta e idoneidad en el desempeño del cargo, considerando la producción jurisdiccional, méritos, informes, de los Colegios y Asociaciones de Abogados, antecedentes que han acumulado sobre su conducta debiendo conceder una entrevista personal en cada caso</w:t>
      </w:r>
      <w:r w:rsidRPr="00892B5F">
        <w:rPr>
          <w:rStyle w:val="FootnoteReference"/>
          <w:rFonts w:asciiTheme="majorHAnsi" w:hAnsiTheme="majorHAnsi"/>
          <w:sz w:val="20"/>
          <w:lang w:val="es-ES_tradnl"/>
        </w:rPr>
        <w:footnoteReference w:id="5"/>
      </w:r>
      <w:r w:rsidRPr="00892B5F">
        <w:rPr>
          <w:rFonts w:asciiTheme="majorHAnsi" w:hAnsiTheme="majorHAnsi"/>
          <w:sz w:val="20"/>
          <w:lang w:val="es-ES_tradnl"/>
        </w:rPr>
        <w:t>.</w:t>
      </w:r>
    </w:p>
    <w:p w14:paraId="495FD529" w14:textId="77777777" w:rsidR="0065706A" w:rsidRDefault="0065706A" w:rsidP="0065706A">
      <w:pPr>
        <w:pStyle w:val="ListParagraph"/>
        <w:tabs>
          <w:tab w:val="left" w:pos="1440"/>
        </w:tabs>
        <w:ind w:left="630"/>
        <w:jc w:val="both"/>
        <w:rPr>
          <w:rFonts w:asciiTheme="majorHAnsi" w:hAnsiTheme="majorHAnsi"/>
          <w:sz w:val="20"/>
          <w:lang w:val="es-ES_tradnl"/>
        </w:rPr>
      </w:pPr>
    </w:p>
    <w:p w14:paraId="7C816A38" w14:textId="77777777" w:rsidR="0065706A" w:rsidRPr="00CC5757" w:rsidRDefault="0065706A" w:rsidP="0065706A">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ES_tradnl"/>
        </w:rPr>
        <w:t xml:space="preserve">Finalmente, el Reglamento del Proceso de Evaluación y Ratificación de Jueces del Poder Judicial, </w:t>
      </w:r>
      <w:r w:rsidRPr="00434723">
        <w:rPr>
          <w:rFonts w:asciiTheme="majorHAnsi" w:hAnsiTheme="majorHAnsi"/>
          <w:sz w:val="20"/>
          <w:lang w:val="es-ES_tradnl"/>
        </w:rPr>
        <w:t xml:space="preserve">emitido </w:t>
      </w:r>
      <w:r w:rsidR="00434723" w:rsidRPr="00434723">
        <w:rPr>
          <w:rFonts w:asciiTheme="majorHAnsi" w:hAnsiTheme="majorHAnsi"/>
          <w:sz w:val="20"/>
          <w:lang w:val="es-ES_tradnl"/>
        </w:rPr>
        <w:t xml:space="preserve">el </w:t>
      </w:r>
      <w:r w:rsidR="0002045A" w:rsidRPr="00434723">
        <w:rPr>
          <w:rFonts w:asciiTheme="majorHAnsi" w:hAnsiTheme="majorHAnsi"/>
          <w:sz w:val="20"/>
          <w:lang w:val="es-ES_tradnl"/>
        </w:rPr>
        <w:t>16 de noviembre de 2000</w:t>
      </w:r>
      <w:r w:rsidRPr="00434723">
        <w:rPr>
          <w:rFonts w:asciiTheme="majorHAnsi" w:hAnsiTheme="majorHAnsi"/>
          <w:sz w:val="20"/>
          <w:lang w:val="es-ES_tradnl"/>
        </w:rPr>
        <w:t>, establecía</w:t>
      </w:r>
      <w:r>
        <w:rPr>
          <w:rFonts w:asciiTheme="majorHAnsi" w:hAnsiTheme="majorHAnsi"/>
          <w:sz w:val="20"/>
          <w:lang w:val="es-ES_tradnl"/>
        </w:rPr>
        <w:t xml:space="preserve"> que </w:t>
      </w:r>
      <w:r w:rsidRPr="00CC5757">
        <w:rPr>
          <w:rFonts w:asciiTheme="majorHAnsi" w:hAnsiTheme="majorHAnsi"/>
          <w:sz w:val="20"/>
          <w:lang w:val="es-ES_tradnl"/>
        </w:rPr>
        <w:t>el CNM debía convocar a jueces y fiscales para dicho proceso, fijándoseles un plazo de 10 días para que presentaran su Currículum Vitae actualizado y documentado, copias de sus declaraciones juradas anuales de bienes y rentas, información sobre sanciones o procesos en donde se le hubiere imputado responsabilidad penal, civil o disciplinaria, fecha de ingreso a clubes sociales y deportivos, parentesco con otros miembros del poder público, y la confirmación de su aptitud física y mental</w:t>
      </w:r>
      <w:r>
        <w:rPr>
          <w:rStyle w:val="FootnoteReference"/>
          <w:rFonts w:asciiTheme="majorHAnsi" w:hAnsiTheme="majorHAnsi"/>
          <w:sz w:val="20"/>
          <w:lang w:val="es-ES_tradnl"/>
        </w:rPr>
        <w:footnoteReference w:id="6"/>
      </w:r>
      <w:r w:rsidRPr="00CC5757">
        <w:rPr>
          <w:rFonts w:asciiTheme="majorHAnsi" w:hAnsiTheme="majorHAnsi"/>
          <w:sz w:val="20"/>
          <w:lang w:val="es-ES_tradnl"/>
        </w:rPr>
        <w:t>. Además, era necesario recabar información de cada magistrado en relación a la concurrencia al trabajo y puntualidad, licencias tomadas y ausencias al trabajo, producción jurisdiccional, procesos penales a su cargo con plazo vencido y causas pendientes</w:t>
      </w:r>
      <w:r>
        <w:rPr>
          <w:rStyle w:val="FootnoteReference"/>
          <w:rFonts w:asciiTheme="majorHAnsi" w:hAnsiTheme="majorHAnsi"/>
          <w:sz w:val="20"/>
          <w:lang w:val="es-ES_tradnl"/>
        </w:rPr>
        <w:footnoteReference w:id="7"/>
      </w:r>
      <w:r w:rsidR="00892B5F">
        <w:rPr>
          <w:rFonts w:asciiTheme="majorHAnsi" w:hAnsiTheme="majorHAnsi"/>
          <w:sz w:val="20"/>
          <w:lang w:val="es-ES_tradnl"/>
        </w:rPr>
        <w:t>.</w:t>
      </w:r>
    </w:p>
    <w:p w14:paraId="0BD4EEDE" w14:textId="77777777" w:rsidR="0065706A" w:rsidRPr="00CC5757" w:rsidRDefault="0065706A" w:rsidP="0065706A">
      <w:pPr>
        <w:tabs>
          <w:tab w:val="left" w:pos="1440"/>
        </w:tabs>
        <w:jc w:val="both"/>
        <w:rPr>
          <w:rFonts w:asciiTheme="majorHAnsi" w:hAnsiTheme="majorHAnsi"/>
          <w:sz w:val="20"/>
          <w:lang w:val="es-ES_tradnl"/>
        </w:rPr>
      </w:pPr>
    </w:p>
    <w:p w14:paraId="02DC6C54" w14:textId="77777777" w:rsidR="0065706A" w:rsidRDefault="0065706A" w:rsidP="0065706A">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ES_tradnl"/>
        </w:rPr>
        <w:t xml:space="preserve">El Reglamento regulaba el procedimiento durante la entrevista y establecía el carácter inapelable de las decisiones del Consejo, en los siguientes términos: </w:t>
      </w:r>
    </w:p>
    <w:p w14:paraId="5D349666" w14:textId="77777777" w:rsidR="0065706A" w:rsidRPr="00CC5757" w:rsidRDefault="0065706A" w:rsidP="0065706A">
      <w:pPr>
        <w:rPr>
          <w:rFonts w:asciiTheme="majorHAnsi" w:hAnsiTheme="majorHAnsi"/>
          <w:sz w:val="20"/>
          <w:lang w:val="es-ES_tradnl"/>
        </w:rPr>
      </w:pPr>
    </w:p>
    <w:p w14:paraId="457AB6A0" w14:textId="77777777" w:rsidR="0065706A" w:rsidRDefault="0065706A" w:rsidP="00E166DE">
      <w:pPr>
        <w:pStyle w:val="ListParagraph"/>
        <w:tabs>
          <w:tab w:val="left" w:pos="1440"/>
        </w:tabs>
        <w:ind w:left="630" w:right="720"/>
        <w:jc w:val="both"/>
        <w:rPr>
          <w:rFonts w:asciiTheme="majorHAnsi" w:hAnsiTheme="majorHAnsi"/>
          <w:sz w:val="20"/>
          <w:lang w:val="es-ES_tradnl"/>
        </w:rPr>
      </w:pPr>
      <w:r>
        <w:rPr>
          <w:rFonts w:asciiTheme="majorHAnsi" w:hAnsiTheme="majorHAnsi"/>
          <w:sz w:val="20"/>
          <w:lang w:val="es-ES_tradnl"/>
        </w:rPr>
        <w:t xml:space="preserve">Artículo 6. </w:t>
      </w:r>
      <w:r w:rsidRPr="00F62311">
        <w:rPr>
          <w:rFonts w:asciiTheme="majorHAnsi" w:hAnsiTheme="majorHAnsi"/>
          <w:sz w:val="20"/>
          <w:lang w:val="es-ES_tradnl"/>
        </w:rPr>
        <w:t>Los jueces y fiscales sujetos a ratificación sostendrán una entrevista personal</w:t>
      </w:r>
      <w:r>
        <w:rPr>
          <w:rFonts w:asciiTheme="majorHAnsi" w:hAnsiTheme="majorHAnsi"/>
          <w:sz w:val="20"/>
          <w:lang w:val="es-ES_tradnl"/>
        </w:rPr>
        <w:t>, la misma que tendrá lugar por decisión del Pleno o a solicitud de los evaluados</w:t>
      </w:r>
      <w:r w:rsidRPr="00F62311">
        <w:rPr>
          <w:rFonts w:asciiTheme="majorHAnsi" w:hAnsiTheme="majorHAnsi"/>
          <w:sz w:val="20"/>
          <w:lang w:val="es-ES_tradnl"/>
        </w:rPr>
        <w:t>. Se establece un rol y plazo pa</w:t>
      </w:r>
      <w:r>
        <w:rPr>
          <w:rFonts w:asciiTheme="majorHAnsi" w:hAnsiTheme="majorHAnsi"/>
          <w:sz w:val="20"/>
          <w:lang w:val="es-ES_tradnl"/>
        </w:rPr>
        <w:t>ra llevarlas a cabo. Se realiza</w:t>
      </w:r>
      <w:r w:rsidRPr="00F62311">
        <w:rPr>
          <w:rFonts w:asciiTheme="majorHAnsi" w:hAnsiTheme="majorHAnsi"/>
          <w:sz w:val="20"/>
          <w:lang w:val="es-ES_tradnl"/>
        </w:rPr>
        <w:t xml:space="preserve"> ante el</w:t>
      </w:r>
      <w:r>
        <w:rPr>
          <w:rFonts w:asciiTheme="majorHAnsi" w:hAnsiTheme="majorHAnsi"/>
          <w:sz w:val="20"/>
          <w:lang w:val="es-ES_tradnl"/>
        </w:rPr>
        <w:t xml:space="preserve"> Pleno o por ante la Comisión Especial conformada</w:t>
      </w:r>
      <w:r w:rsidRPr="00F62311">
        <w:rPr>
          <w:rFonts w:asciiTheme="majorHAnsi" w:hAnsiTheme="majorHAnsi"/>
          <w:sz w:val="20"/>
          <w:lang w:val="es-ES_tradnl"/>
        </w:rPr>
        <w:t xml:space="preserve"> por tres Consejeros designados por el </w:t>
      </w:r>
      <w:r>
        <w:rPr>
          <w:rFonts w:asciiTheme="majorHAnsi" w:hAnsiTheme="majorHAnsi"/>
          <w:sz w:val="20"/>
          <w:lang w:val="es-ES_tradnl"/>
        </w:rPr>
        <w:t>p</w:t>
      </w:r>
      <w:r w:rsidRPr="00F62311">
        <w:rPr>
          <w:rFonts w:asciiTheme="majorHAnsi" w:hAnsiTheme="majorHAnsi"/>
          <w:sz w:val="20"/>
          <w:lang w:val="es-ES_tradnl"/>
        </w:rPr>
        <w:t>leno</w:t>
      </w:r>
      <w:r>
        <w:rPr>
          <w:rFonts w:asciiTheme="majorHAnsi" w:hAnsiTheme="majorHAnsi"/>
          <w:sz w:val="20"/>
          <w:lang w:val="es-ES_tradnl"/>
        </w:rPr>
        <w:t>.</w:t>
      </w:r>
    </w:p>
    <w:p w14:paraId="0FBCF45D" w14:textId="77777777" w:rsidR="0065706A" w:rsidRDefault="0065706A" w:rsidP="00E166DE">
      <w:pPr>
        <w:pStyle w:val="ListParagraph"/>
        <w:tabs>
          <w:tab w:val="left" w:pos="1440"/>
        </w:tabs>
        <w:ind w:left="630" w:right="720"/>
        <w:jc w:val="both"/>
        <w:rPr>
          <w:rFonts w:asciiTheme="majorHAnsi" w:hAnsiTheme="majorHAnsi"/>
          <w:sz w:val="20"/>
          <w:lang w:val="es-ES_tradnl"/>
        </w:rPr>
      </w:pPr>
    </w:p>
    <w:p w14:paraId="5EF75E43" w14:textId="77777777" w:rsidR="0065706A" w:rsidRDefault="0065706A" w:rsidP="00E166DE">
      <w:pPr>
        <w:pStyle w:val="ListParagraph"/>
        <w:tabs>
          <w:tab w:val="left" w:pos="1440"/>
        </w:tabs>
        <w:ind w:left="630" w:right="720"/>
        <w:jc w:val="both"/>
        <w:rPr>
          <w:rFonts w:asciiTheme="majorHAnsi" w:hAnsiTheme="majorHAnsi"/>
          <w:sz w:val="20"/>
          <w:lang w:val="es-ES_tradnl"/>
        </w:rPr>
      </w:pPr>
      <w:r>
        <w:rPr>
          <w:rFonts w:asciiTheme="majorHAnsi" w:hAnsiTheme="majorHAnsi"/>
          <w:sz w:val="20"/>
          <w:lang w:val="es-ES_tradnl"/>
        </w:rPr>
        <w:t xml:space="preserve">Artículo 8. </w:t>
      </w:r>
      <w:r w:rsidRPr="00CC5757">
        <w:rPr>
          <w:rFonts w:asciiTheme="majorHAnsi" w:hAnsiTheme="majorHAnsi"/>
          <w:sz w:val="20"/>
          <w:lang w:val="es-ES_tradnl"/>
        </w:rPr>
        <w:t>El evaluado será oído en el curso de la entrevista personal, acto en el cual podrá presentar las pruebas que considere pertinentes que verifiquen sus logros académicos, profesionales y funcionales. Se le hará conocer los casos que requieren esclarecimiento; así como cualquier otro aspecto relacionado con la información proporcionada.</w:t>
      </w:r>
      <w:r>
        <w:rPr>
          <w:rFonts w:asciiTheme="majorHAnsi" w:hAnsiTheme="majorHAnsi"/>
          <w:sz w:val="20"/>
          <w:lang w:val="es-ES_tradnl"/>
        </w:rPr>
        <w:t xml:space="preserve"> </w:t>
      </w:r>
      <w:r w:rsidRPr="00CC5757">
        <w:rPr>
          <w:rFonts w:asciiTheme="majorHAnsi" w:hAnsiTheme="majorHAnsi"/>
          <w:sz w:val="20"/>
          <w:lang w:val="es-ES_tradnl"/>
        </w:rPr>
        <w:t>La entrevista podrá ser grabada en medio magnético y óptico. Las grabaciones tendrán carácter reservado</w:t>
      </w:r>
      <w:r>
        <w:rPr>
          <w:rFonts w:asciiTheme="majorHAnsi" w:hAnsiTheme="majorHAnsi"/>
          <w:sz w:val="20"/>
          <w:lang w:val="es-ES_tradnl"/>
        </w:rPr>
        <w:t>.</w:t>
      </w:r>
    </w:p>
    <w:p w14:paraId="52E81F4F" w14:textId="77777777" w:rsidR="0065706A" w:rsidRPr="005E3E95" w:rsidRDefault="0065706A" w:rsidP="00E166DE">
      <w:pPr>
        <w:tabs>
          <w:tab w:val="left" w:pos="1440"/>
        </w:tabs>
        <w:ind w:right="720"/>
        <w:jc w:val="both"/>
        <w:rPr>
          <w:rFonts w:asciiTheme="majorHAnsi" w:hAnsiTheme="majorHAnsi"/>
          <w:sz w:val="20"/>
          <w:lang w:val="es-ES_tradnl"/>
        </w:rPr>
      </w:pPr>
    </w:p>
    <w:p w14:paraId="2E05F3EA" w14:textId="77777777" w:rsidR="0057128A" w:rsidRDefault="0065706A" w:rsidP="00BE1869">
      <w:pPr>
        <w:pStyle w:val="ListParagraph"/>
        <w:ind w:right="720"/>
        <w:jc w:val="both"/>
        <w:rPr>
          <w:rFonts w:asciiTheme="majorHAnsi" w:hAnsiTheme="majorHAnsi"/>
          <w:sz w:val="20"/>
          <w:lang w:val="es-ES_tradnl"/>
        </w:rPr>
      </w:pPr>
      <w:r>
        <w:rPr>
          <w:rFonts w:asciiTheme="majorHAnsi" w:hAnsiTheme="majorHAnsi"/>
          <w:sz w:val="20"/>
          <w:lang w:val="es-ES_tradnl"/>
        </w:rPr>
        <w:t>Artículo 17. Contra el resultado de la votación de la ratificación no procede reconsideración por parte de los señores Consejeros. No procede recurso impugnatorio contra ella y su ejecución. No procede la revisión en sede judicial del proceso o sus resultados, conforme lo establece la Constitución Política</w:t>
      </w:r>
      <w:r w:rsidR="00CD3235" w:rsidRPr="00CD3235">
        <w:rPr>
          <w:rFonts w:asciiTheme="majorHAnsi" w:hAnsiTheme="majorHAnsi"/>
          <w:sz w:val="20"/>
          <w:lang w:val="es-ES_tradnl"/>
        </w:rPr>
        <w:t>.</w:t>
      </w:r>
    </w:p>
    <w:p w14:paraId="356B2629" w14:textId="77777777" w:rsidR="0057128A" w:rsidRDefault="0057128A" w:rsidP="00E166DE">
      <w:pPr>
        <w:pStyle w:val="ListParagraph"/>
        <w:ind w:right="720"/>
        <w:rPr>
          <w:rFonts w:asciiTheme="majorHAnsi" w:hAnsiTheme="majorHAnsi"/>
          <w:sz w:val="20"/>
          <w:lang w:val="es-ES_tradnl"/>
        </w:rPr>
      </w:pPr>
    </w:p>
    <w:p w14:paraId="6AA3B7AD" w14:textId="77777777" w:rsidR="0065706A" w:rsidRPr="00CD3235" w:rsidRDefault="0057128A" w:rsidP="00E166DE">
      <w:pPr>
        <w:pStyle w:val="ListParagraph"/>
        <w:ind w:right="720"/>
        <w:jc w:val="both"/>
        <w:rPr>
          <w:rFonts w:asciiTheme="majorHAnsi" w:hAnsiTheme="majorHAnsi"/>
          <w:sz w:val="20"/>
          <w:lang w:val="es-ES_tradnl"/>
        </w:rPr>
      </w:pPr>
      <w:r>
        <w:rPr>
          <w:rFonts w:asciiTheme="majorHAnsi" w:hAnsiTheme="majorHAnsi"/>
          <w:sz w:val="20"/>
          <w:lang w:val="es-ES_tradnl"/>
        </w:rPr>
        <w:t>Disposiciones Generales. II. La ratificación es una facultad constitucional otorgada al cuerpo colegiado del Consejo Nacional de la Magistratura para decidir, según el criterio de cada Consejero que participe en el pleno de la respectiva sesión, si procede renovar la confianza al evaluado para continuar en el cargo o s</w:t>
      </w:r>
      <w:r w:rsidR="00CD3235">
        <w:rPr>
          <w:rFonts w:asciiTheme="majorHAnsi" w:hAnsiTheme="majorHAnsi"/>
          <w:sz w:val="20"/>
          <w:lang w:val="es-ES_tradnl"/>
        </w:rPr>
        <w:t>epararlo de él definitivamente</w:t>
      </w:r>
      <w:r w:rsidR="00CD3235" w:rsidRPr="00CD3235">
        <w:rPr>
          <w:rStyle w:val="FootnoteReference"/>
          <w:rFonts w:asciiTheme="majorHAnsi" w:hAnsiTheme="majorHAnsi"/>
          <w:sz w:val="20"/>
          <w:lang w:val="es-ES_tradnl"/>
        </w:rPr>
        <w:t xml:space="preserve"> </w:t>
      </w:r>
      <w:r w:rsidR="00CD3235">
        <w:rPr>
          <w:rStyle w:val="FootnoteReference"/>
          <w:rFonts w:asciiTheme="majorHAnsi" w:hAnsiTheme="majorHAnsi"/>
          <w:sz w:val="20"/>
          <w:lang w:val="es-ES_tradnl"/>
        </w:rPr>
        <w:footnoteReference w:id="8"/>
      </w:r>
      <w:r w:rsidR="00CD3235" w:rsidRPr="00CD3235">
        <w:rPr>
          <w:rFonts w:asciiTheme="majorHAnsi" w:hAnsiTheme="majorHAnsi"/>
          <w:sz w:val="20"/>
          <w:lang w:val="es-ES_tradnl"/>
        </w:rPr>
        <w:t>.</w:t>
      </w:r>
    </w:p>
    <w:p w14:paraId="25CA5E50" w14:textId="77777777" w:rsidR="0065706A" w:rsidRPr="007A50C8" w:rsidRDefault="0065706A" w:rsidP="007A50C8">
      <w:pPr>
        <w:rPr>
          <w:rFonts w:asciiTheme="majorHAnsi" w:hAnsiTheme="majorHAnsi"/>
          <w:sz w:val="20"/>
          <w:lang w:val="es-ES_tradnl"/>
        </w:rPr>
      </w:pPr>
    </w:p>
    <w:p w14:paraId="5F90DD35" w14:textId="77777777" w:rsidR="007A50C8" w:rsidRDefault="004A219D" w:rsidP="004A219D">
      <w:pPr>
        <w:pStyle w:val="ListParagraph"/>
        <w:numPr>
          <w:ilvl w:val="0"/>
          <w:numId w:val="55"/>
        </w:numPr>
        <w:tabs>
          <w:tab w:val="left" w:pos="1440"/>
        </w:tabs>
        <w:ind w:left="0" w:firstLine="630"/>
        <w:jc w:val="both"/>
        <w:rPr>
          <w:rFonts w:asciiTheme="majorHAnsi" w:hAnsiTheme="majorHAnsi"/>
          <w:sz w:val="20"/>
          <w:lang w:val="es-ES_tradnl"/>
        </w:rPr>
      </w:pPr>
      <w:r w:rsidRPr="004A219D">
        <w:rPr>
          <w:rFonts w:asciiTheme="majorHAnsi" w:hAnsiTheme="majorHAnsi"/>
          <w:sz w:val="20"/>
          <w:lang w:val="es-ES_tradnl"/>
        </w:rPr>
        <w:t>Dicho Reglamento fue reemplazado</w:t>
      </w:r>
      <w:r w:rsidR="000B7116">
        <w:rPr>
          <w:rFonts w:asciiTheme="majorHAnsi" w:hAnsiTheme="majorHAnsi"/>
          <w:sz w:val="20"/>
          <w:lang w:val="es-ES_tradnl"/>
        </w:rPr>
        <w:t xml:space="preserve"> en 2002. </w:t>
      </w:r>
      <w:r w:rsidRPr="004A219D">
        <w:rPr>
          <w:rFonts w:asciiTheme="majorHAnsi" w:hAnsiTheme="majorHAnsi"/>
          <w:sz w:val="20"/>
          <w:lang w:val="es-ES_tradnl"/>
        </w:rPr>
        <w:t>En el nuevo reglamento ya no se indica que la entrevista personal de jueces o fiscales se llevará por decisión del Pleno o a solicitud de los evaluados</w:t>
      </w:r>
      <w:r w:rsidRPr="004A219D">
        <w:rPr>
          <w:rStyle w:val="FootnoteReference"/>
          <w:rFonts w:asciiTheme="majorHAnsi" w:hAnsiTheme="majorHAnsi"/>
          <w:sz w:val="20"/>
          <w:lang w:val="es-ES_tradnl"/>
        </w:rPr>
        <w:footnoteReference w:id="9"/>
      </w:r>
      <w:r w:rsidRPr="004A219D">
        <w:rPr>
          <w:rFonts w:asciiTheme="majorHAnsi" w:hAnsiTheme="majorHAnsi"/>
          <w:sz w:val="20"/>
          <w:lang w:val="es-ES_tradnl"/>
        </w:rPr>
        <w:t xml:space="preserve">. </w:t>
      </w:r>
    </w:p>
    <w:p w14:paraId="5383124B" w14:textId="77777777" w:rsidR="004F5950" w:rsidRPr="00892B5F" w:rsidRDefault="004F5950" w:rsidP="004F5950">
      <w:pPr>
        <w:pStyle w:val="ListParagraph"/>
        <w:tabs>
          <w:tab w:val="left" w:pos="1440"/>
        </w:tabs>
        <w:ind w:left="630"/>
        <w:jc w:val="both"/>
        <w:rPr>
          <w:rFonts w:asciiTheme="majorHAnsi" w:hAnsiTheme="majorHAnsi"/>
          <w:sz w:val="20"/>
          <w:lang w:val="es-ES_tradnl"/>
        </w:rPr>
      </w:pPr>
    </w:p>
    <w:p w14:paraId="6661B17E" w14:textId="77777777" w:rsidR="004F5950" w:rsidRDefault="000B7116" w:rsidP="004F5950">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ES_tradnl"/>
        </w:rPr>
        <w:t>E</w:t>
      </w:r>
      <w:r w:rsidR="0065706A" w:rsidRPr="004A219D">
        <w:rPr>
          <w:rFonts w:asciiTheme="majorHAnsi" w:hAnsiTheme="majorHAnsi"/>
          <w:sz w:val="20"/>
          <w:lang w:val="es-ES_tradnl"/>
        </w:rPr>
        <w:t xml:space="preserve">l </w:t>
      </w:r>
      <w:r w:rsidR="0002045A" w:rsidRPr="004A219D">
        <w:rPr>
          <w:rFonts w:asciiTheme="majorHAnsi" w:hAnsiTheme="majorHAnsi"/>
          <w:sz w:val="20"/>
          <w:lang w:val="es-ES_tradnl"/>
        </w:rPr>
        <w:t>16 de julio</w:t>
      </w:r>
      <w:r w:rsidR="0065706A" w:rsidRPr="004A219D">
        <w:rPr>
          <w:rFonts w:asciiTheme="majorHAnsi" w:hAnsiTheme="majorHAnsi"/>
          <w:sz w:val="20"/>
          <w:lang w:val="es-ES_tradnl"/>
        </w:rPr>
        <w:t xml:space="preserve"> 2003 el</w:t>
      </w:r>
      <w:r w:rsidR="0065706A">
        <w:rPr>
          <w:rFonts w:asciiTheme="majorHAnsi" w:hAnsiTheme="majorHAnsi"/>
          <w:sz w:val="20"/>
          <w:lang w:val="es-ES_tradnl"/>
        </w:rPr>
        <w:t xml:space="preserve"> Tribunal Constitucional determinó la inaplicabilidad de la norma que establecía que los jueces o fiscales no ratificados no pueden volver al Poder Judicial o al Ministerio Público al considerar </w:t>
      </w:r>
      <w:r w:rsidR="0065706A" w:rsidRPr="00892B5F">
        <w:rPr>
          <w:rFonts w:asciiTheme="majorHAnsi" w:hAnsiTheme="majorHAnsi"/>
          <w:sz w:val="20"/>
          <w:lang w:val="es-ES_tradnl"/>
        </w:rPr>
        <w:t xml:space="preserve">que </w:t>
      </w:r>
      <w:r w:rsidR="004A219D" w:rsidRPr="00892B5F">
        <w:rPr>
          <w:rFonts w:asciiTheme="majorHAnsi" w:hAnsiTheme="majorHAnsi"/>
          <w:sz w:val="20"/>
          <w:lang w:val="es-ES_tradnl"/>
        </w:rPr>
        <w:t>“</w:t>
      </w:r>
      <w:r w:rsidR="0065706A" w:rsidRPr="00892B5F">
        <w:rPr>
          <w:rFonts w:asciiTheme="majorHAnsi" w:hAnsiTheme="majorHAnsi"/>
          <w:sz w:val="20"/>
          <w:lang w:val="es-ES_tradnl"/>
        </w:rPr>
        <w:t>tal prohibición es incongruente pues, con la institución de la ratificación, ya que (…) ésta no constituye una sanción, sino un voto de confianza en torno al ejercicio de la función (…) la prohibición de reingresar a la carrera judicial se equipara</w:t>
      </w:r>
      <w:r w:rsidR="0065706A" w:rsidRPr="00C94680">
        <w:rPr>
          <w:rFonts w:asciiTheme="majorHAnsi" w:hAnsiTheme="majorHAnsi"/>
          <w:sz w:val="20"/>
          <w:lang w:val="es-ES_tradnl"/>
        </w:rPr>
        <w:t xml:space="preserve"> [tal como está regulada] a una sanción cuya imposición (…) no es consecuencia de haberse cometido una falta. Por ello (…) los magistrados no ratificados no están impedidos de postular nuevamente al Poder Judicial o al Ministerio Público”</w:t>
      </w:r>
      <w:r w:rsidR="0065706A" w:rsidRPr="00C94680">
        <w:rPr>
          <w:sz w:val="20"/>
          <w:szCs w:val="20"/>
          <w:vertAlign w:val="superscript"/>
        </w:rPr>
        <w:footnoteReference w:id="10"/>
      </w:r>
      <w:r w:rsidR="0065706A">
        <w:rPr>
          <w:rFonts w:asciiTheme="majorHAnsi" w:hAnsiTheme="majorHAnsi"/>
          <w:sz w:val="20"/>
          <w:lang w:val="es-ES_tradnl"/>
        </w:rPr>
        <w:t>.</w:t>
      </w:r>
    </w:p>
    <w:p w14:paraId="4CE31E57" w14:textId="77777777" w:rsidR="004F5950" w:rsidRPr="004F5950" w:rsidRDefault="004F5950" w:rsidP="004F5950">
      <w:pPr>
        <w:pStyle w:val="ListParagraph"/>
        <w:rPr>
          <w:rFonts w:asciiTheme="majorHAnsi" w:hAnsiTheme="majorHAnsi"/>
          <w:sz w:val="20"/>
          <w:lang w:val="es-ES_tradnl"/>
        </w:rPr>
      </w:pPr>
    </w:p>
    <w:p w14:paraId="400FDB34" w14:textId="77777777" w:rsidR="00FC78AB" w:rsidRPr="004F5950" w:rsidRDefault="009A58C6" w:rsidP="004F5950">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ES_tradnl"/>
        </w:rPr>
        <w:t>E</w:t>
      </w:r>
      <w:r w:rsidR="0065706A" w:rsidRPr="004F5950">
        <w:rPr>
          <w:rFonts w:asciiTheme="majorHAnsi" w:hAnsiTheme="majorHAnsi"/>
          <w:sz w:val="20"/>
          <w:lang w:val="es-ES_tradnl"/>
        </w:rPr>
        <w:t xml:space="preserve">l </w:t>
      </w:r>
      <w:r w:rsidR="0057128A" w:rsidRPr="004F5950">
        <w:rPr>
          <w:rFonts w:asciiTheme="majorHAnsi" w:hAnsiTheme="majorHAnsi"/>
          <w:sz w:val="20"/>
          <w:lang w:val="es-ES_tradnl"/>
        </w:rPr>
        <w:t>12 de agosto</w:t>
      </w:r>
      <w:r w:rsidR="0065706A" w:rsidRPr="004F5950">
        <w:rPr>
          <w:rFonts w:asciiTheme="majorHAnsi" w:hAnsiTheme="majorHAnsi"/>
          <w:sz w:val="20"/>
          <w:lang w:val="es-ES_tradnl"/>
        </w:rPr>
        <w:t xml:space="preserve"> de</w:t>
      </w:r>
      <w:r w:rsidR="0057128A" w:rsidRPr="004F5950">
        <w:rPr>
          <w:rFonts w:asciiTheme="majorHAnsi" w:hAnsiTheme="majorHAnsi"/>
          <w:sz w:val="20"/>
          <w:lang w:val="es-ES_tradnl"/>
        </w:rPr>
        <w:t xml:space="preserve"> 2005</w:t>
      </w:r>
      <w:r w:rsidR="0065706A" w:rsidRPr="004F5950">
        <w:rPr>
          <w:rFonts w:asciiTheme="majorHAnsi" w:hAnsiTheme="majorHAnsi"/>
          <w:sz w:val="20"/>
          <w:lang w:val="es-ES_tradnl"/>
        </w:rPr>
        <w:t xml:space="preserve"> el Tribunal Constitucional estableció la posibilidad de impugnar las decisiones del C</w:t>
      </w:r>
      <w:r w:rsidR="00BB41FC">
        <w:rPr>
          <w:rFonts w:asciiTheme="majorHAnsi" w:hAnsiTheme="majorHAnsi"/>
          <w:sz w:val="20"/>
          <w:lang w:val="es-ES_tradnl"/>
        </w:rPr>
        <w:t>NM</w:t>
      </w:r>
      <w:r w:rsidR="0065706A" w:rsidRPr="004F5950">
        <w:rPr>
          <w:rFonts w:asciiTheme="majorHAnsi" w:hAnsiTheme="majorHAnsi"/>
          <w:sz w:val="20"/>
          <w:lang w:val="es-ES_tradnl"/>
        </w:rPr>
        <w:t xml:space="preserve"> en sede judicial, estableciendo que “desde el 1 de diciembre de 2004 se encuentra vigente el [Código Procesal Constitucional del cual se desprende]… que sí proceden los procesos constitucionales respecto de resoluciones dormitivas del CNM, cuando estas sean inmotivadas y/o cuando hayan sido emitidas sin audiencia del interesado (…)”</w:t>
      </w:r>
      <w:r w:rsidR="0065706A">
        <w:rPr>
          <w:rStyle w:val="FootnoteReference"/>
          <w:rFonts w:asciiTheme="majorHAnsi" w:hAnsiTheme="majorHAnsi"/>
          <w:sz w:val="20"/>
          <w:lang w:val="es-ES_tradnl"/>
        </w:rPr>
        <w:footnoteReference w:id="11"/>
      </w:r>
      <w:r w:rsidR="0065706A" w:rsidRPr="004F5950">
        <w:rPr>
          <w:rFonts w:asciiTheme="majorHAnsi" w:hAnsiTheme="majorHAnsi"/>
          <w:sz w:val="20"/>
          <w:lang w:val="es-ES_tradnl"/>
        </w:rPr>
        <w:t>.</w:t>
      </w:r>
      <w:r w:rsidR="004A603C" w:rsidRPr="004F5950">
        <w:rPr>
          <w:rFonts w:asciiTheme="majorHAnsi" w:hAnsiTheme="majorHAnsi"/>
          <w:sz w:val="20"/>
          <w:lang w:val="es-ES_tradnl"/>
        </w:rPr>
        <w:t xml:space="preserve"> </w:t>
      </w:r>
    </w:p>
    <w:p w14:paraId="3B592D70" w14:textId="77777777" w:rsidR="00FC78AB" w:rsidRPr="00FC78AB" w:rsidRDefault="00FC78AB" w:rsidP="00FC78AB">
      <w:pPr>
        <w:pStyle w:val="ListParagraph"/>
        <w:rPr>
          <w:rFonts w:asciiTheme="majorHAnsi" w:hAnsiTheme="majorHAnsi"/>
          <w:sz w:val="20"/>
          <w:lang w:val="es-ES_tradnl"/>
        </w:rPr>
      </w:pPr>
    </w:p>
    <w:p w14:paraId="6730E977" w14:textId="77777777" w:rsidR="00FC78AB" w:rsidRPr="00FC78AB" w:rsidRDefault="007433E1" w:rsidP="0065706A">
      <w:pPr>
        <w:pStyle w:val="ListParagraph"/>
        <w:numPr>
          <w:ilvl w:val="0"/>
          <w:numId w:val="55"/>
        </w:numPr>
        <w:tabs>
          <w:tab w:val="left" w:pos="1440"/>
        </w:tabs>
        <w:ind w:left="0" w:firstLine="630"/>
        <w:jc w:val="both"/>
        <w:rPr>
          <w:rFonts w:asciiTheme="majorHAnsi" w:hAnsiTheme="majorHAnsi"/>
          <w:sz w:val="20"/>
          <w:lang w:val="es-ES_tradnl"/>
        </w:rPr>
      </w:pPr>
      <w:r>
        <w:rPr>
          <w:rFonts w:asciiTheme="majorHAnsi" w:hAnsiTheme="majorHAnsi"/>
          <w:sz w:val="20"/>
          <w:lang w:val="es-ES_tradnl"/>
        </w:rPr>
        <w:t>C</w:t>
      </w:r>
      <w:r w:rsidR="00FC78AB" w:rsidRPr="00FC78AB">
        <w:rPr>
          <w:rFonts w:asciiTheme="majorHAnsi" w:hAnsiTheme="majorHAnsi"/>
          <w:sz w:val="20"/>
          <w:lang w:val="es-ES_tradnl"/>
        </w:rPr>
        <w:t xml:space="preserve">on posterioridad se emitieron una serie de modificaciones a los reglamentos del proceso de evaluación de jueces y fiscales. </w:t>
      </w:r>
    </w:p>
    <w:p w14:paraId="5A797AE2" w14:textId="77777777" w:rsidR="0065706A" w:rsidRPr="0065706A" w:rsidRDefault="0065706A" w:rsidP="0065706A">
      <w:pPr>
        <w:tabs>
          <w:tab w:val="left" w:pos="1440"/>
        </w:tabs>
        <w:jc w:val="both"/>
        <w:rPr>
          <w:rFonts w:asciiTheme="majorHAnsi" w:hAnsiTheme="majorHAnsi"/>
          <w:sz w:val="20"/>
          <w:lang w:val="es-ES_tradnl"/>
        </w:rPr>
      </w:pPr>
    </w:p>
    <w:p w14:paraId="016C0539" w14:textId="77777777" w:rsidR="0065706A" w:rsidRDefault="0065706A" w:rsidP="003E17D7">
      <w:pPr>
        <w:pStyle w:val="Heading2"/>
        <w:numPr>
          <w:ilvl w:val="0"/>
          <w:numId w:val="57"/>
        </w:numPr>
        <w:spacing w:before="0" w:after="0"/>
        <w:ind w:hanging="90"/>
        <w:rPr>
          <w:rFonts w:asciiTheme="majorHAnsi" w:hAnsiTheme="majorHAnsi"/>
          <w:i w:val="0"/>
          <w:sz w:val="20"/>
          <w:szCs w:val="20"/>
          <w:lang w:val="es-ES_tradnl"/>
        </w:rPr>
      </w:pPr>
      <w:bookmarkStart w:id="7" w:name="_Toc527450121"/>
      <w:r>
        <w:rPr>
          <w:rFonts w:asciiTheme="majorHAnsi" w:hAnsiTheme="majorHAnsi"/>
          <w:i w:val="0"/>
          <w:sz w:val="20"/>
          <w:szCs w:val="20"/>
          <w:lang w:val="es-ES_tradnl"/>
        </w:rPr>
        <w:t xml:space="preserve">Sobre las presuntas víctimas y </w:t>
      </w:r>
      <w:r w:rsidR="00923B64">
        <w:rPr>
          <w:rFonts w:asciiTheme="majorHAnsi" w:hAnsiTheme="majorHAnsi"/>
          <w:i w:val="0"/>
          <w:sz w:val="20"/>
          <w:szCs w:val="20"/>
          <w:lang w:val="es-ES_tradnl"/>
        </w:rPr>
        <w:t>sus</w:t>
      </w:r>
      <w:r>
        <w:rPr>
          <w:rFonts w:asciiTheme="majorHAnsi" w:hAnsiTheme="majorHAnsi"/>
          <w:i w:val="0"/>
          <w:sz w:val="20"/>
          <w:szCs w:val="20"/>
          <w:lang w:val="es-ES_tradnl"/>
        </w:rPr>
        <w:t xml:space="preserve"> p</w:t>
      </w:r>
      <w:r w:rsidRPr="00DD0E55">
        <w:rPr>
          <w:rFonts w:asciiTheme="majorHAnsi" w:hAnsiTheme="majorHAnsi"/>
          <w:i w:val="0"/>
          <w:sz w:val="20"/>
          <w:szCs w:val="20"/>
          <w:lang w:val="es-ES_tradnl"/>
        </w:rPr>
        <w:t>rocesos</w:t>
      </w:r>
      <w:r>
        <w:rPr>
          <w:rFonts w:asciiTheme="majorHAnsi" w:hAnsiTheme="majorHAnsi"/>
          <w:i w:val="0"/>
          <w:sz w:val="20"/>
          <w:szCs w:val="20"/>
          <w:lang w:val="es-ES_tradnl"/>
        </w:rPr>
        <w:t xml:space="preserve"> </w:t>
      </w:r>
      <w:r w:rsidR="00923B64">
        <w:rPr>
          <w:rFonts w:asciiTheme="majorHAnsi" w:hAnsiTheme="majorHAnsi"/>
          <w:i w:val="0"/>
          <w:sz w:val="20"/>
          <w:szCs w:val="20"/>
          <w:lang w:val="es-ES_tradnl"/>
        </w:rPr>
        <w:t xml:space="preserve">de </w:t>
      </w:r>
      <w:r>
        <w:rPr>
          <w:rFonts w:asciiTheme="majorHAnsi" w:hAnsiTheme="majorHAnsi"/>
          <w:i w:val="0"/>
          <w:sz w:val="20"/>
          <w:szCs w:val="20"/>
          <w:lang w:val="es-ES_tradnl"/>
        </w:rPr>
        <w:t>evaluación y ratificación</w:t>
      </w:r>
      <w:bookmarkEnd w:id="7"/>
      <w:r>
        <w:rPr>
          <w:rFonts w:asciiTheme="majorHAnsi" w:hAnsiTheme="majorHAnsi"/>
          <w:i w:val="0"/>
          <w:sz w:val="20"/>
          <w:szCs w:val="20"/>
          <w:lang w:val="es-ES_tradnl"/>
        </w:rPr>
        <w:t xml:space="preserve"> </w:t>
      </w:r>
    </w:p>
    <w:p w14:paraId="28111C5F" w14:textId="77777777" w:rsidR="0065706A" w:rsidRPr="000A6AB8" w:rsidRDefault="0065706A" w:rsidP="0065706A">
      <w:pPr>
        <w:rPr>
          <w:lang w:val="es-ES_tradnl"/>
        </w:rPr>
      </w:pPr>
    </w:p>
    <w:p w14:paraId="337A38FD" w14:textId="77777777" w:rsidR="0065706A" w:rsidRPr="00776B4C" w:rsidRDefault="0065706A" w:rsidP="003E17D7">
      <w:pPr>
        <w:pStyle w:val="Heading3"/>
        <w:numPr>
          <w:ilvl w:val="0"/>
          <w:numId w:val="58"/>
        </w:numPr>
        <w:spacing w:before="0" w:after="0"/>
        <w:ind w:hanging="90"/>
        <w:rPr>
          <w:rFonts w:asciiTheme="majorHAnsi" w:hAnsiTheme="majorHAnsi"/>
          <w:sz w:val="20"/>
          <w:szCs w:val="20"/>
          <w:lang w:val="es-ES"/>
        </w:rPr>
      </w:pPr>
      <w:r>
        <w:rPr>
          <w:rFonts w:asciiTheme="majorHAnsi" w:hAnsiTheme="majorHAnsi"/>
          <w:sz w:val="20"/>
          <w:szCs w:val="20"/>
          <w:lang w:val="es-ES"/>
        </w:rPr>
        <w:t xml:space="preserve"> </w:t>
      </w:r>
      <w:bookmarkStart w:id="8" w:name="_Toc527450122"/>
      <w:r>
        <w:rPr>
          <w:rFonts w:asciiTheme="majorHAnsi" w:hAnsiTheme="majorHAnsi"/>
          <w:sz w:val="20"/>
          <w:szCs w:val="20"/>
          <w:lang w:val="es-ES"/>
        </w:rPr>
        <w:t>Jorge Luis Cuya Lavy</w:t>
      </w:r>
      <w:bookmarkEnd w:id="8"/>
    </w:p>
    <w:p w14:paraId="72E90408" w14:textId="77777777" w:rsidR="0065706A" w:rsidRPr="000515A0" w:rsidRDefault="0065706A" w:rsidP="0065706A">
      <w:pPr>
        <w:pStyle w:val="ListParagraph"/>
        <w:rPr>
          <w:rFonts w:asciiTheme="majorHAnsi" w:hAnsiTheme="majorHAnsi"/>
          <w:b/>
          <w:color w:val="FF0000"/>
          <w:sz w:val="20"/>
          <w:szCs w:val="20"/>
          <w:lang w:val="es-ES"/>
        </w:rPr>
      </w:pPr>
    </w:p>
    <w:p w14:paraId="704C9F5A" w14:textId="77777777" w:rsidR="0065706A" w:rsidRPr="001F26AD" w:rsidRDefault="008C0CAB" w:rsidP="001F26AD">
      <w:pPr>
        <w:pStyle w:val="ListParagraph"/>
        <w:numPr>
          <w:ilvl w:val="0"/>
          <w:numId w:val="55"/>
        </w:numPr>
        <w:ind w:left="0" w:firstLine="630"/>
        <w:jc w:val="both"/>
        <w:rPr>
          <w:rFonts w:asciiTheme="majorHAnsi" w:hAnsiTheme="majorHAnsi"/>
          <w:sz w:val="20"/>
          <w:lang w:val="es-ES_tradnl"/>
        </w:rPr>
      </w:pPr>
      <w:r>
        <w:rPr>
          <w:rFonts w:asciiTheme="majorHAnsi" w:hAnsiTheme="majorHAnsi"/>
          <w:color w:val="auto"/>
          <w:sz w:val="20"/>
          <w:szCs w:val="20"/>
          <w:lang w:val="es-VE"/>
        </w:rPr>
        <w:t>E</w:t>
      </w:r>
      <w:r w:rsidR="0065706A" w:rsidRPr="00A702CF">
        <w:rPr>
          <w:rFonts w:asciiTheme="majorHAnsi" w:hAnsiTheme="majorHAnsi"/>
          <w:color w:val="auto"/>
          <w:sz w:val="20"/>
          <w:szCs w:val="20"/>
          <w:lang w:val="es-VE"/>
        </w:rPr>
        <w:t>l 4 de noviembre de 1994</w:t>
      </w:r>
      <w:r w:rsidR="00BC266C">
        <w:rPr>
          <w:rFonts w:asciiTheme="majorHAnsi" w:hAnsiTheme="majorHAnsi"/>
          <w:color w:val="auto"/>
          <w:sz w:val="20"/>
          <w:szCs w:val="20"/>
          <w:lang w:val="es-VE"/>
        </w:rPr>
        <w:t xml:space="preserve"> </w:t>
      </w:r>
      <w:r w:rsidR="0065706A" w:rsidRPr="00A702CF">
        <w:rPr>
          <w:rFonts w:asciiTheme="majorHAnsi" w:hAnsiTheme="majorHAnsi"/>
          <w:color w:val="auto"/>
          <w:sz w:val="20"/>
          <w:szCs w:val="20"/>
          <w:lang w:val="es-VE"/>
        </w:rPr>
        <w:t>Jorge</w:t>
      </w:r>
      <w:r w:rsidR="00990109">
        <w:rPr>
          <w:rFonts w:asciiTheme="majorHAnsi" w:hAnsiTheme="majorHAnsi"/>
          <w:color w:val="auto"/>
          <w:sz w:val="20"/>
          <w:szCs w:val="20"/>
          <w:lang w:val="es-VE"/>
        </w:rPr>
        <w:t xml:space="preserve"> Luis</w:t>
      </w:r>
      <w:r w:rsidR="0065706A" w:rsidRPr="00A702CF">
        <w:rPr>
          <w:rFonts w:asciiTheme="majorHAnsi" w:hAnsiTheme="majorHAnsi"/>
          <w:color w:val="auto"/>
          <w:sz w:val="20"/>
          <w:szCs w:val="20"/>
          <w:lang w:val="es-VE"/>
        </w:rPr>
        <w:t xml:space="preserve"> Cuya Lavy fue nom</w:t>
      </w:r>
      <w:r w:rsidR="0065706A">
        <w:rPr>
          <w:rFonts w:asciiTheme="majorHAnsi" w:hAnsiTheme="majorHAnsi"/>
          <w:color w:val="auto"/>
          <w:sz w:val="20"/>
          <w:szCs w:val="20"/>
          <w:lang w:val="es-VE"/>
        </w:rPr>
        <w:t xml:space="preserve">brado como Juez Especializado en lo Civil </w:t>
      </w:r>
      <w:r w:rsidR="0065706A" w:rsidRPr="00874CA0">
        <w:rPr>
          <w:rFonts w:asciiTheme="majorHAnsi" w:hAnsiTheme="majorHAnsi"/>
          <w:sz w:val="20"/>
          <w:lang w:val="es-ES_tradnl"/>
        </w:rPr>
        <w:t>del Distrito Judicial de Lima</w:t>
      </w:r>
      <w:r w:rsidR="0065706A">
        <w:rPr>
          <w:rStyle w:val="FootnoteReference"/>
          <w:rFonts w:asciiTheme="majorHAnsi" w:hAnsiTheme="majorHAnsi"/>
          <w:sz w:val="20"/>
          <w:lang w:val="es-ES_tradnl"/>
        </w:rPr>
        <w:footnoteReference w:id="12"/>
      </w:r>
      <w:r w:rsidR="0065706A" w:rsidRPr="00874CA0">
        <w:rPr>
          <w:rFonts w:asciiTheme="majorHAnsi" w:hAnsiTheme="majorHAnsi"/>
          <w:sz w:val="20"/>
          <w:lang w:val="es-ES_tradnl"/>
        </w:rPr>
        <w:t xml:space="preserve">. </w:t>
      </w:r>
      <w:r w:rsidR="0065706A" w:rsidRPr="001F26AD">
        <w:rPr>
          <w:rFonts w:asciiTheme="majorHAnsi" w:hAnsiTheme="majorHAnsi"/>
          <w:sz w:val="20"/>
          <w:lang w:val="es-ES_tradnl"/>
        </w:rPr>
        <w:t xml:space="preserve">El 21 de noviembre de 1994 la Corte Suprema de Justicia </w:t>
      </w:r>
      <w:r w:rsidR="001F26AD">
        <w:rPr>
          <w:rFonts w:asciiTheme="majorHAnsi" w:hAnsiTheme="majorHAnsi"/>
          <w:sz w:val="20"/>
          <w:lang w:val="es-ES_tradnl"/>
        </w:rPr>
        <w:t xml:space="preserve">acordó </w:t>
      </w:r>
      <w:r w:rsidR="00336241">
        <w:rPr>
          <w:rFonts w:asciiTheme="majorHAnsi" w:hAnsiTheme="majorHAnsi"/>
          <w:sz w:val="20"/>
          <w:lang w:val="es-ES_tradnl"/>
        </w:rPr>
        <w:t>su</w:t>
      </w:r>
      <w:r w:rsidR="0065706A" w:rsidRPr="001F26AD">
        <w:rPr>
          <w:rFonts w:asciiTheme="majorHAnsi" w:hAnsiTheme="majorHAnsi"/>
          <w:sz w:val="20"/>
          <w:lang w:val="es-ES_tradnl"/>
        </w:rPr>
        <w:t xml:space="preserve"> incorporación al Tercer Juzgado Especializado en lo Civil del Cono Norte, del Distrito Judicial de Lima como Juez Titular</w:t>
      </w:r>
      <w:r w:rsidR="0065706A" w:rsidRPr="00525425">
        <w:rPr>
          <w:rStyle w:val="FootnoteReference"/>
          <w:rFonts w:asciiTheme="majorHAnsi" w:hAnsiTheme="majorHAnsi"/>
          <w:sz w:val="20"/>
          <w:lang w:val="es-ES_tradnl"/>
        </w:rPr>
        <w:footnoteReference w:id="13"/>
      </w:r>
      <w:r w:rsidR="0065706A" w:rsidRPr="001F26AD">
        <w:rPr>
          <w:rFonts w:asciiTheme="majorHAnsi" w:hAnsiTheme="majorHAnsi"/>
          <w:sz w:val="20"/>
          <w:lang w:val="es-ES_tradnl"/>
        </w:rPr>
        <w:t xml:space="preserve">. </w:t>
      </w:r>
    </w:p>
    <w:p w14:paraId="468A2C44" w14:textId="77777777" w:rsidR="0065706A" w:rsidRPr="00525425" w:rsidRDefault="0065706A" w:rsidP="0065706A">
      <w:pPr>
        <w:pStyle w:val="ListParagraph"/>
        <w:ind w:left="630"/>
        <w:jc w:val="both"/>
        <w:rPr>
          <w:rFonts w:asciiTheme="majorHAnsi" w:hAnsiTheme="majorHAnsi"/>
          <w:b/>
          <w:color w:val="FF0000"/>
          <w:sz w:val="20"/>
          <w:szCs w:val="20"/>
          <w:lang w:val="es-ES_tradnl"/>
        </w:rPr>
      </w:pPr>
    </w:p>
    <w:p w14:paraId="3DD10E2F" w14:textId="77777777" w:rsidR="00167F7E" w:rsidRPr="006A39C6" w:rsidRDefault="0065706A" w:rsidP="0065706A">
      <w:pPr>
        <w:pStyle w:val="ListParagraph"/>
        <w:numPr>
          <w:ilvl w:val="0"/>
          <w:numId w:val="55"/>
        </w:numPr>
        <w:ind w:left="0" w:firstLine="630"/>
        <w:jc w:val="both"/>
        <w:rPr>
          <w:rFonts w:asciiTheme="majorHAnsi" w:hAnsiTheme="majorHAnsi"/>
          <w:color w:val="auto"/>
          <w:sz w:val="20"/>
          <w:szCs w:val="20"/>
          <w:lang w:val="es-CO"/>
        </w:rPr>
      </w:pPr>
      <w:r w:rsidRPr="006A39C6">
        <w:rPr>
          <w:rFonts w:asciiTheme="majorHAnsi" w:hAnsiTheme="majorHAnsi"/>
          <w:color w:val="auto"/>
          <w:sz w:val="20"/>
          <w:szCs w:val="20"/>
          <w:lang w:val="es-CO"/>
        </w:rPr>
        <w:t xml:space="preserve">El </w:t>
      </w:r>
      <w:r w:rsidR="004C425D" w:rsidRPr="006A39C6">
        <w:rPr>
          <w:rFonts w:asciiTheme="majorHAnsi" w:hAnsiTheme="majorHAnsi"/>
          <w:color w:val="auto"/>
          <w:sz w:val="20"/>
          <w:szCs w:val="20"/>
          <w:lang w:val="es-CO"/>
        </w:rPr>
        <w:t>19</w:t>
      </w:r>
      <w:r w:rsidRPr="006A39C6">
        <w:rPr>
          <w:rFonts w:asciiTheme="majorHAnsi" w:hAnsiTheme="majorHAnsi"/>
          <w:color w:val="auto"/>
          <w:sz w:val="20"/>
          <w:szCs w:val="20"/>
          <w:lang w:val="es-CO"/>
        </w:rPr>
        <w:t xml:space="preserve"> de </w:t>
      </w:r>
      <w:r w:rsidR="004C425D" w:rsidRPr="006A39C6">
        <w:rPr>
          <w:rFonts w:asciiTheme="majorHAnsi" w:hAnsiTheme="majorHAnsi"/>
          <w:color w:val="auto"/>
          <w:sz w:val="20"/>
          <w:szCs w:val="20"/>
          <w:lang w:val="es-CO"/>
        </w:rPr>
        <w:t>septiembre de 2002</w:t>
      </w:r>
      <w:r w:rsidRPr="006A39C6">
        <w:rPr>
          <w:rFonts w:asciiTheme="majorHAnsi" w:hAnsiTheme="majorHAnsi"/>
          <w:color w:val="auto"/>
          <w:sz w:val="20"/>
          <w:szCs w:val="20"/>
          <w:lang w:val="es-CO"/>
        </w:rPr>
        <w:t xml:space="preserve"> el C</w:t>
      </w:r>
      <w:r w:rsidR="00226E1A">
        <w:rPr>
          <w:rFonts w:asciiTheme="majorHAnsi" w:hAnsiTheme="majorHAnsi"/>
          <w:color w:val="auto"/>
          <w:sz w:val="20"/>
          <w:szCs w:val="20"/>
          <w:lang w:val="es-CO"/>
        </w:rPr>
        <w:t>NM</w:t>
      </w:r>
      <w:r w:rsidRPr="006A39C6">
        <w:rPr>
          <w:rFonts w:asciiTheme="majorHAnsi" w:hAnsiTheme="majorHAnsi"/>
          <w:color w:val="auto"/>
          <w:sz w:val="20"/>
          <w:szCs w:val="20"/>
          <w:lang w:val="es-CO"/>
        </w:rPr>
        <w:t xml:space="preserve"> convocó al señor Cuya Lavy al proceso de evaluación y ratificación y señaló como fecha para su entrevista personal el 29 de octubre de 2002 a las 10:00 a.m</w:t>
      </w:r>
      <w:r w:rsidRPr="006A39C6">
        <w:rPr>
          <w:rStyle w:val="FootnoteReference"/>
          <w:rFonts w:asciiTheme="majorHAnsi" w:hAnsiTheme="majorHAnsi"/>
          <w:sz w:val="20"/>
          <w:szCs w:val="20"/>
          <w:lang w:val="es-ES"/>
        </w:rPr>
        <w:footnoteReference w:id="14"/>
      </w:r>
      <w:r w:rsidRPr="006A39C6">
        <w:rPr>
          <w:rFonts w:asciiTheme="majorHAnsi" w:hAnsiTheme="majorHAnsi"/>
          <w:color w:val="auto"/>
          <w:sz w:val="20"/>
          <w:szCs w:val="20"/>
          <w:lang w:val="es-CO"/>
        </w:rPr>
        <w:t>.</w:t>
      </w:r>
      <w:r w:rsidR="00BC266C">
        <w:rPr>
          <w:rFonts w:asciiTheme="majorHAnsi" w:hAnsiTheme="majorHAnsi"/>
          <w:color w:val="auto"/>
          <w:sz w:val="20"/>
          <w:szCs w:val="20"/>
          <w:lang w:val="es-CO"/>
        </w:rPr>
        <w:t xml:space="preserve"> </w:t>
      </w:r>
      <w:r w:rsidRPr="006A39C6">
        <w:rPr>
          <w:rFonts w:asciiTheme="majorHAnsi" w:hAnsiTheme="majorHAnsi"/>
          <w:color w:val="auto"/>
          <w:sz w:val="20"/>
          <w:szCs w:val="20"/>
          <w:lang w:val="es-CO"/>
        </w:rPr>
        <w:t>En la resolución de convocatoria se indicó:</w:t>
      </w:r>
      <w:r w:rsidR="00167F7E" w:rsidRPr="006A39C6">
        <w:rPr>
          <w:rFonts w:asciiTheme="majorHAnsi" w:hAnsiTheme="majorHAnsi"/>
          <w:color w:val="auto"/>
          <w:sz w:val="20"/>
          <w:szCs w:val="20"/>
          <w:lang w:val="es-CO"/>
        </w:rPr>
        <w:t xml:space="preserve"> </w:t>
      </w:r>
    </w:p>
    <w:p w14:paraId="181A06FB" w14:textId="77777777" w:rsidR="00167F7E" w:rsidRPr="006A39C6" w:rsidRDefault="00167F7E" w:rsidP="00167F7E">
      <w:pPr>
        <w:pStyle w:val="ListParagraph"/>
        <w:rPr>
          <w:rFonts w:asciiTheme="majorHAnsi" w:hAnsiTheme="majorHAnsi"/>
          <w:color w:val="auto"/>
          <w:sz w:val="20"/>
          <w:szCs w:val="20"/>
          <w:lang w:val="es-CO"/>
        </w:rPr>
      </w:pPr>
    </w:p>
    <w:p w14:paraId="398A7FDC" w14:textId="77777777" w:rsidR="0065706A" w:rsidRDefault="00167F7E" w:rsidP="00AC6652">
      <w:pPr>
        <w:pStyle w:val="ListParagraph"/>
        <w:ind w:left="630" w:right="720"/>
        <w:jc w:val="both"/>
        <w:rPr>
          <w:rFonts w:asciiTheme="majorHAnsi" w:hAnsiTheme="majorHAnsi"/>
          <w:color w:val="auto"/>
          <w:sz w:val="20"/>
          <w:szCs w:val="20"/>
          <w:lang w:val="es-CO"/>
        </w:rPr>
      </w:pPr>
      <w:r w:rsidRPr="006A39C6">
        <w:rPr>
          <w:rFonts w:asciiTheme="majorHAnsi" w:hAnsiTheme="majorHAnsi"/>
          <w:color w:val="auto"/>
          <w:sz w:val="20"/>
          <w:szCs w:val="20"/>
          <w:lang w:val="es-CO"/>
        </w:rPr>
        <w:t xml:space="preserve">CRONOGRAMA DE ACTIVIDADES: 1. 23 de Setiembre de 2002: Inicio del proceso. 2. Del 23 de Setiembre de 2002 al 04 de Octubre de 2002: Evaluación de la documentación recibida. 3. Del 09 de Octubre de 2002 al 16 de Octubre de 2002: Formulación de los informes de evaluación por la Comisión Permanente de Evaluación y Ratificación. 4. Del 17 de Octubre de 2002 al 21 de Octubre de 2002: Evaluación de los Informes de la Comisión Permanente de Evaluación y Ratificación por el Pleno del Consejo. 5. </w:t>
      </w:r>
      <w:r w:rsidR="004C00C5" w:rsidRPr="006A39C6">
        <w:rPr>
          <w:rFonts w:asciiTheme="majorHAnsi" w:hAnsiTheme="majorHAnsi"/>
          <w:color w:val="auto"/>
          <w:sz w:val="20"/>
          <w:szCs w:val="20"/>
          <w:lang w:val="es-CO"/>
        </w:rPr>
        <w:t xml:space="preserve">Del 28 de Octubre de 2002 al 02 de Noviembre de 2002: Entrevistas personales a cada uno de los magistrados sujetos a evaluación. 6. Del 11 de Noviembre de 2002 al 12 de Noviembre de 2002: programación de entrevistas especiales de darse el caso. 7. Del 13 de Noviembre de 2002 al 19 de Noviembre de 2002: se pone a disposición de los señores Consejeros los informes de la Comisión Permanente de Evaluación y Ratificación y, los legajos de cada uno de los </w:t>
      </w:r>
      <w:r w:rsidR="00772F28" w:rsidRPr="006A39C6">
        <w:rPr>
          <w:rFonts w:asciiTheme="majorHAnsi" w:hAnsiTheme="majorHAnsi"/>
          <w:color w:val="auto"/>
          <w:sz w:val="20"/>
          <w:szCs w:val="20"/>
          <w:lang w:val="es-CO"/>
        </w:rPr>
        <w:t>E</w:t>
      </w:r>
      <w:r w:rsidR="004C00C5" w:rsidRPr="006A39C6">
        <w:rPr>
          <w:rFonts w:asciiTheme="majorHAnsi" w:hAnsiTheme="majorHAnsi"/>
          <w:color w:val="auto"/>
          <w:sz w:val="20"/>
          <w:szCs w:val="20"/>
          <w:lang w:val="es-CO"/>
        </w:rPr>
        <w:t>valuados. 8. Del 20 de Novie</w:t>
      </w:r>
      <w:r w:rsidR="0055311F" w:rsidRPr="006A39C6">
        <w:rPr>
          <w:rFonts w:asciiTheme="majorHAnsi" w:hAnsiTheme="majorHAnsi"/>
          <w:color w:val="auto"/>
          <w:sz w:val="20"/>
          <w:szCs w:val="20"/>
          <w:lang w:val="es-CO"/>
        </w:rPr>
        <w:t>mbre de 20</w:t>
      </w:r>
      <w:r w:rsidR="004C00C5" w:rsidRPr="006A39C6">
        <w:rPr>
          <w:rFonts w:asciiTheme="majorHAnsi" w:hAnsiTheme="majorHAnsi"/>
          <w:color w:val="auto"/>
          <w:sz w:val="20"/>
          <w:szCs w:val="20"/>
          <w:lang w:val="es-CO"/>
        </w:rPr>
        <w:t>02 al 23 de Noviembre de 2002: el Pleno de CNM se constituye en sesión permanente, a fin de realizar la votación y, decide la ratificación o no ratificación correspondiente. ENTREVISTAS. PODER JUDICIAL (…) 24. Cuya Lavy, Jorge Luis, Juez Especializado Cono Norte, 29 de Octubre, 10:00 a.m</w:t>
      </w:r>
      <w:r w:rsidR="004C00C5" w:rsidRPr="006A39C6">
        <w:rPr>
          <w:rStyle w:val="FootnoteReference"/>
          <w:rFonts w:asciiTheme="majorHAnsi" w:hAnsiTheme="majorHAnsi"/>
          <w:color w:val="auto"/>
          <w:sz w:val="20"/>
          <w:szCs w:val="20"/>
          <w:lang w:val="es-CO"/>
        </w:rPr>
        <w:footnoteReference w:id="15"/>
      </w:r>
      <w:r w:rsidR="004C00C5" w:rsidRPr="006A39C6">
        <w:rPr>
          <w:rFonts w:asciiTheme="majorHAnsi" w:hAnsiTheme="majorHAnsi"/>
          <w:color w:val="auto"/>
          <w:sz w:val="20"/>
          <w:szCs w:val="20"/>
          <w:lang w:val="es-CO"/>
        </w:rPr>
        <w:t>.</w:t>
      </w:r>
    </w:p>
    <w:p w14:paraId="1157E900" w14:textId="77777777" w:rsidR="00B07950" w:rsidRPr="00AC6652" w:rsidRDefault="00B07950" w:rsidP="00AC6652">
      <w:pPr>
        <w:pStyle w:val="ListParagraph"/>
        <w:ind w:left="630" w:right="720"/>
        <w:jc w:val="both"/>
        <w:rPr>
          <w:rFonts w:asciiTheme="majorHAnsi" w:hAnsiTheme="majorHAnsi"/>
          <w:color w:val="auto"/>
          <w:sz w:val="20"/>
          <w:szCs w:val="20"/>
          <w:lang w:val="es-CO"/>
        </w:rPr>
      </w:pPr>
    </w:p>
    <w:p w14:paraId="749262D0" w14:textId="77777777" w:rsidR="0065706A" w:rsidRPr="006A39C6" w:rsidRDefault="0065706A" w:rsidP="0065706A">
      <w:pPr>
        <w:pStyle w:val="ListParagraph"/>
        <w:numPr>
          <w:ilvl w:val="0"/>
          <w:numId w:val="55"/>
        </w:numPr>
        <w:ind w:left="0" w:firstLine="630"/>
        <w:jc w:val="both"/>
        <w:rPr>
          <w:rFonts w:asciiTheme="majorHAnsi" w:hAnsiTheme="majorHAnsi"/>
          <w:sz w:val="20"/>
          <w:szCs w:val="20"/>
          <w:lang w:val="es-ES"/>
        </w:rPr>
      </w:pPr>
      <w:r>
        <w:rPr>
          <w:rFonts w:asciiTheme="majorHAnsi" w:hAnsiTheme="majorHAnsi"/>
          <w:color w:val="auto"/>
          <w:sz w:val="20"/>
          <w:szCs w:val="20"/>
          <w:lang w:val="es-CO"/>
        </w:rPr>
        <w:t xml:space="preserve">La parte peticionaria indicó y el Estado no controvirtió que durante su entrevista así como en las entrevistas a otros magistrados se les preguntó </w:t>
      </w:r>
      <w:r w:rsidRPr="00F048F6">
        <w:rPr>
          <w:rFonts w:asciiTheme="majorHAnsi" w:hAnsiTheme="majorHAnsi"/>
          <w:sz w:val="20"/>
          <w:szCs w:val="20"/>
          <w:lang w:val="es-ES"/>
        </w:rPr>
        <w:t xml:space="preserve">“sobre cuestiones absolutamente ajenas a la función, como la vida personal: razones de soltería, las </w:t>
      </w:r>
      <w:r w:rsidRPr="006A39C6">
        <w:rPr>
          <w:rFonts w:asciiTheme="majorHAnsi" w:hAnsiTheme="majorHAnsi"/>
          <w:sz w:val="20"/>
          <w:szCs w:val="20"/>
          <w:lang w:val="es-ES"/>
        </w:rPr>
        <w:t>parejas, la razón del número de hijos, la opción sexual, etc”. También refirió que durante el procedimiento no se le presentaron cargos sobre</w:t>
      </w:r>
      <w:r w:rsidR="00B07950">
        <w:rPr>
          <w:rFonts w:asciiTheme="majorHAnsi" w:hAnsiTheme="majorHAnsi"/>
          <w:sz w:val="20"/>
          <w:szCs w:val="20"/>
          <w:lang w:val="es-ES"/>
        </w:rPr>
        <w:t xml:space="preserve"> posibles</w:t>
      </w:r>
      <w:r w:rsidRPr="006A39C6">
        <w:rPr>
          <w:rFonts w:asciiTheme="majorHAnsi" w:hAnsiTheme="majorHAnsi"/>
          <w:sz w:val="20"/>
          <w:szCs w:val="20"/>
          <w:lang w:val="es-ES"/>
        </w:rPr>
        <w:t xml:space="preserve"> faltas</w:t>
      </w:r>
      <w:r w:rsidR="00C62357">
        <w:rPr>
          <w:rFonts w:asciiTheme="majorHAnsi" w:hAnsiTheme="majorHAnsi"/>
          <w:sz w:val="20"/>
          <w:szCs w:val="20"/>
          <w:lang w:val="es-ES"/>
        </w:rPr>
        <w:t xml:space="preserve"> cometidas de manera que pudiera defenderse</w:t>
      </w:r>
      <w:r w:rsidRPr="006A39C6">
        <w:rPr>
          <w:rStyle w:val="FootnoteReference"/>
          <w:rFonts w:asciiTheme="majorHAnsi" w:hAnsiTheme="majorHAnsi"/>
          <w:sz w:val="20"/>
          <w:szCs w:val="20"/>
          <w:lang w:val="es-ES"/>
        </w:rPr>
        <w:footnoteReference w:id="16"/>
      </w:r>
      <w:r w:rsidRPr="006A39C6">
        <w:rPr>
          <w:rFonts w:asciiTheme="majorHAnsi" w:hAnsiTheme="majorHAnsi"/>
          <w:sz w:val="20"/>
          <w:szCs w:val="20"/>
          <w:lang w:val="es-ES"/>
        </w:rPr>
        <w:t xml:space="preserve">. </w:t>
      </w:r>
      <w:r w:rsidRPr="006A39C6">
        <w:rPr>
          <w:rFonts w:asciiTheme="majorHAnsi" w:hAnsiTheme="majorHAnsi"/>
          <w:color w:val="auto"/>
          <w:sz w:val="20"/>
          <w:szCs w:val="20"/>
          <w:lang w:val="es-CO"/>
        </w:rPr>
        <w:t>Según información de público conocimiento, en una entrevista el Presidente del C</w:t>
      </w:r>
      <w:r w:rsidR="00933072">
        <w:rPr>
          <w:rFonts w:asciiTheme="majorHAnsi" w:hAnsiTheme="majorHAnsi"/>
          <w:color w:val="auto"/>
          <w:sz w:val="20"/>
          <w:szCs w:val="20"/>
          <w:lang w:val="es-CO"/>
        </w:rPr>
        <w:t>NM</w:t>
      </w:r>
      <w:r w:rsidRPr="006A39C6">
        <w:rPr>
          <w:rFonts w:asciiTheme="majorHAnsi" w:hAnsiTheme="majorHAnsi"/>
          <w:color w:val="auto"/>
          <w:sz w:val="20"/>
          <w:szCs w:val="20"/>
          <w:lang w:val="es-CO"/>
        </w:rPr>
        <w:t xml:space="preserve"> indicó que en los procesos de evaluación y ratificación de jueces y fiscales se tomaban en cuenta aspectos personales como </w:t>
      </w:r>
      <w:r w:rsidR="00CB44BF">
        <w:rPr>
          <w:rFonts w:asciiTheme="majorHAnsi" w:hAnsiTheme="majorHAnsi"/>
          <w:color w:val="auto"/>
          <w:sz w:val="20"/>
          <w:szCs w:val="20"/>
          <w:lang w:val="es-CO"/>
        </w:rPr>
        <w:t>la</w:t>
      </w:r>
      <w:r w:rsidR="00673A71" w:rsidRPr="006A39C6">
        <w:rPr>
          <w:rFonts w:asciiTheme="majorHAnsi" w:hAnsiTheme="majorHAnsi"/>
          <w:color w:val="auto"/>
          <w:sz w:val="20"/>
          <w:szCs w:val="20"/>
          <w:lang w:val="es-CO"/>
        </w:rPr>
        <w:t xml:space="preserve"> conducta personal, inclusive su</w:t>
      </w:r>
      <w:r w:rsidRPr="006A39C6">
        <w:rPr>
          <w:rFonts w:asciiTheme="majorHAnsi" w:hAnsiTheme="majorHAnsi"/>
          <w:color w:val="auto"/>
          <w:sz w:val="20"/>
          <w:szCs w:val="20"/>
          <w:lang w:val="es-CO"/>
        </w:rPr>
        <w:t xml:space="preserve"> situación familiar</w:t>
      </w:r>
      <w:r w:rsidRPr="006A39C6">
        <w:rPr>
          <w:rStyle w:val="FootnoteReference"/>
          <w:rFonts w:asciiTheme="majorHAnsi" w:hAnsiTheme="majorHAnsi"/>
          <w:color w:val="auto"/>
          <w:sz w:val="20"/>
          <w:szCs w:val="20"/>
          <w:lang w:val="es-CO"/>
        </w:rPr>
        <w:footnoteReference w:id="17"/>
      </w:r>
      <w:r w:rsidRPr="006A39C6">
        <w:rPr>
          <w:rFonts w:asciiTheme="majorHAnsi" w:hAnsiTheme="majorHAnsi"/>
          <w:color w:val="auto"/>
          <w:sz w:val="20"/>
          <w:szCs w:val="20"/>
          <w:lang w:val="es-CO"/>
        </w:rPr>
        <w:t>.</w:t>
      </w:r>
      <w:r w:rsidRPr="006A39C6">
        <w:rPr>
          <w:rFonts w:asciiTheme="majorHAnsi" w:hAnsiTheme="majorHAnsi"/>
          <w:b/>
          <w:color w:val="auto"/>
          <w:sz w:val="20"/>
          <w:szCs w:val="20"/>
          <w:lang w:val="es-CO"/>
        </w:rPr>
        <w:t xml:space="preserve"> </w:t>
      </w:r>
    </w:p>
    <w:p w14:paraId="2EE5C026" w14:textId="77777777" w:rsidR="0065706A" w:rsidRPr="00546754" w:rsidRDefault="0065706A" w:rsidP="0065706A">
      <w:pPr>
        <w:pStyle w:val="ListParagraph"/>
        <w:rPr>
          <w:rFonts w:asciiTheme="majorHAnsi" w:hAnsiTheme="majorHAnsi"/>
          <w:b/>
          <w:color w:val="FF0000"/>
          <w:sz w:val="20"/>
          <w:szCs w:val="20"/>
          <w:lang w:val="es-CO"/>
        </w:rPr>
      </w:pPr>
    </w:p>
    <w:p w14:paraId="3F092B93" w14:textId="77777777" w:rsidR="006B0E02" w:rsidRPr="006B0E02" w:rsidRDefault="0065706A" w:rsidP="0065706A">
      <w:pPr>
        <w:pStyle w:val="ListParagraph"/>
        <w:numPr>
          <w:ilvl w:val="0"/>
          <w:numId w:val="55"/>
        </w:numPr>
        <w:ind w:left="0" w:firstLine="630"/>
        <w:jc w:val="both"/>
        <w:rPr>
          <w:rFonts w:asciiTheme="majorHAnsi" w:hAnsiTheme="majorHAnsi"/>
          <w:b/>
          <w:color w:val="auto"/>
          <w:sz w:val="20"/>
          <w:szCs w:val="20"/>
          <w:lang w:val="es-CO"/>
        </w:rPr>
      </w:pPr>
      <w:r>
        <w:rPr>
          <w:rFonts w:asciiTheme="majorHAnsi" w:hAnsiTheme="majorHAnsi"/>
          <w:color w:val="auto"/>
          <w:sz w:val="20"/>
          <w:szCs w:val="20"/>
          <w:lang w:val="es-CO"/>
        </w:rPr>
        <w:t xml:space="preserve">El 20 de noviembre de 2002 el CNM </w:t>
      </w:r>
      <w:r w:rsidRPr="00114D94">
        <w:rPr>
          <w:rFonts w:asciiTheme="majorHAnsi" w:hAnsiTheme="majorHAnsi"/>
          <w:color w:val="auto"/>
          <w:sz w:val="20"/>
          <w:szCs w:val="20"/>
          <w:lang w:val="es-CO"/>
        </w:rPr>
        <w:t xml:space="preserve">emitió resolución </w:t>
      </w:r>
      <w:r>
        <w:rPr>
          <w:rFonts w:asciiTheme="majorHAnsi" w:hAnsiTheme="majorHAnsi"/>
          <w:color w:val="auto"/>
          <w:sz w:val="20"/>
          <w:szCs w:val="20"/>
          <w:lang w:val="es-CO"/>
        </w:rPr>
        <w:t>determin</w:t>
      </w:r>
      <w:r w:rsidR="003B46B9">
        <w:rPr>
          <w:rFonts w:asciiTheme="majorHAnsi" w:hAnsiTheme="majorHAnsi"/>
          <w:color w:val="auto"/>
          <w:sz w:val="20"/>
          <w:szCs w:val="20"/>
          <w:lang w:val="es-CO"/>
        </w:rPr>
        <w:t>ando</w:t>
      </w:r>
      <w:r w:rsidR="00B91683">
        <w:rPr>
          <w:rFonts w:asciiTheme="majorHAnsi" w:hAnsiTheme="majorHAnsi"/>
          <w:color w:val="auto"/>
          <w:sz w:val="20"/>
          <w:szCs w:val="20"/>
          <w:lang w:val="es-CO"/>
        </w:rPr>
        <w:t xml:space="preserve"> la no ratificación del peticionario como Juez del Distrito Judicial Cono Norte, así como la cancelac</w:t>
      </w:r>
      <w:r w:rsidR="006B0E02">
        <w:rPr>
          <w:rFonts w:asciiTheme="majorHAnsi" w:hAnsiTheme="majorHAnsi"/>
          <w:color w:val="auto"/>
          <w:sz w:val="20"/>
          <w:szCs w:val="20"/>
          <w:lang w:val="es-CO"/>
        </w:rPr>
        <w:t>ión de su nombramiento como tal</w:t>
      </w:r>
      <w:r w:rsidR="006B0E02">
        <w:rPr>
          <w:rStyle w:val="FootnoteReference"/>
          <w:rFonts w:asciiTheme="majorHAnsi" w:hAnsiTheme="majorHAnsi"/>
          <w:color w:val="auto"/>
          <w:sz w:val="20"/>
          <w:szCs w:val="20"/>
          <w:lang w:val="es-CO"/>
        </w:rPr>
        <w:footnoteReference w:id="18"/>
      </w:r>
      <w:r w:rsidR="006B0E02">
        <w:rPr>
          <w:rFonts w:asciiTheme="majorHAnsi" w:hAnsiTheme="majorHAnsi"/>
          <w:color w:val="auto"/>
          <w:sz w:val="20"/>
          <w:szCs w:val="20"/>
          <w:lang w:val="es-CO"/>
        </w:rPr>
        <w:t>. En dicha resolución se señala</w:t>
      </w:r>
      <w:r w:rsidR="00E866CA">
        <w:rPr>
          <w:rFonts w:asciiTheme="majorHAnsi" w:hAnsiTheme="majorHAnsi"/>
          <w:color w:val="auto"/>
          <w:sz w:val="20"/>
          <w:szCs w:val="20"/>
          <w:lang w:val="es-CO"/>
        </w:rPr>
        <w:t xml:space="preserve">: </w:t>
      </w:r>
    </w:p>
    <w:p w14:paraId="5DD981F7" w14:textId="77777777" w:rsidR="006B0E02" w:rsidRPr="006B0E02" w:rsidRDefault="006B0E02" w:rsidP="006B0E02">
      <w:pPr>
        <w:pStyle w:val="ListParagraph"/>
        <w:rPr>
          <w:rFonts w:asciiTheme="majorHAnsi" w:hAnsiTheme="majorHAnsi"/>
          <w:color w:val="auto"/>
          <w:sz w:val="20"/>
          <w:szCs w:val="20"/>
          <w:highlight w:val="yellow"/>
          <w:lang w:val="es-CO"/>
        </w:rPr>
      </w:pPr>
    </w:p>
    <w:p w14:paraId="7C5BB938" w14:textId="77777777" w:rsidR="0065706A" w:rsidRPr="006A39C6" w:rsidRDefault="006B0E02" w:rsidP="008B2816">
      <w:pPr>
        <w:pStyle w:val="ListParagraph"/>
        <w:ind w:left="630" w:right="720"/>
        <w:jc w:val="both"/>
        <w:rPr>
          <w:rFonts w:asciiTheme="majorHAnsi" w:hAnsiTheme="majorHAnsi"/>
          <w:color w:val="auto"/>
          <w:sz w:val="20"/>
          <w:szCs w:val="20"/>
          <w:lang w:val="es-CO"/>
        </w:rPr>
      </w:pPr>
      <w:r w:rsidRPr="006A39C6">
        <w:rPr>
          <w:rFonts w:asciiTheme="majorHAnsi" w:hAnsiTheme="majorHAnsi"/>
          <w:color w:val="auto"/>
          <w:sz w:val="20"/>
          <w:szCs w:val="20"/>
          <w:lang w:val="es-CO"/>
        </w:rPr>
        <w:t>S</w:t>
      </w:r>
      <w:r w:rsidR="00E866CA" w:rsidRPr="006A39C6">
        <w:rPr>
          <w:rFonts w:asciiTheme="majorHAnsi" w:hAnsiTheme="majorHAnsi"/>
          <w:color w:val="auto"/>
          <w:sz w:val="20"/>
          <w:szCs w:val="20"/>
          <w:lang w:val="es-CO"/>
        </w:rPr>
        <w:t xml:space="preserve">e resuelve: </w:t>
      </w:r>
      <w:r w:rsidR="00D70DA7" w:rsidRPr="006A39C6">
        <w:rPr>
          <w:rFonts w:asciiTheme="majorHAnsi" w:hAnsiTheme="majorHAnsi"/>
          <w:color w:val="auto"/>
          <w:sz w:val="20"/>
          <w:szCs w:val="20"/>
          <w:lang w:val="es-CO"/>
        </w:rPr>
        <w:t>Primero.- N</w:t>
      </w:r>
      <w:r w:rsidR="00E866CA" w:rsidRPr="006A39C6">
        <w:rPr>
          <w:rFonts w:asciiTheme="majorHAnsi" w:hAnsiTheme="majorHAnsi"/>
          <w:color w:val="auto"/>
          <w:sz w:val="20"/>
          <w:szCs w:val="20"/>
          <w:lang w:val="es-CO"/>
        </w:rPr>
        <w:t>o ratificar en sus cargos a los siguientes magistrados del Poder Judicial y fiscal del Ministerio Público: (…) Distrito Judicial Cono Norte: 8 Cuya Lavy, Jorge Luis (…)</w:t>
      </w:r>
      <w:r w:rsidR="00D70DA7" w:rsidRPr="006A39C6">
        <w:rPr>
          <w:rFonts w:asciiTheme="majorHAnsi" w:hAnsiTheme="majorHAnsi"/>
          <w:color w:val="auto"/>
          <w:sz w:val="20"/>
          <w:szCs w:val="20"/>
          <w:lang w:val="es-CO"/>
        </w:rPr>
        <w:t>”</w:t>
      </w:r>
      <w:r w:rsidR="0065706A" w:rsidRPr="006A39C6">
        <w:rPr>
          <w:rFonts w:asciiTheme="majorHAnsi" w:hAnsiTheme="majorHAnsi"/>
          <w:color w:val="auto"/>
          <w:sz w:val="20"/>
          <w:szCs w:val="20"/>
          <w:lang w:val="es-CO"/>
        </w:rPr>
        <w:t xml:space="preserve">y </w:t>
      </w:r>
      <w:r w:rsidR="00D70DA7" w:rsidRPr="006A39C6">
        <w:rPr>
          <w:rFonts w:asciiTheme="majorHAnsi" w:hAnsiTheme="majorHAnsi"/>
          <w:color w:val="auto"/>
          <w:sz w:val="20"/>
          <w:szCs w:val="20"/>
          <w:lang w:val="es-CO"/>
        </w:rPr>
        <w:t>“Segundo.- Cancelar los títulos de nombramientos expedidos a favor de los señores jueces y fiscal no ratificados, mencionados”</w:t>
      </w:r>
      <w:r w:rsidRPr="006A39C6">
        <w:rPr>
          <w:rStyle w:val="FootnoteReference"/>
          <w:rFonts w:asciiTheme="majorHAnsi" w:hAnsiTheme="majorHAnsi"/>
          <w:color w:val="auto"/>
          <w:sz w:val="20"/>
          <w:szCs w:val="20"/>
          <w:lang w:val="es-CO"/>
        </w:rPr>
        <w:t xml:space="preserve"> </w:t>
      </w:r>
      <w:r w:rsidRPr="006A39C6">
        <w:rPr>
          <w:rStyle w:val="FootnoteReference"/>
          <w:rFonts w:asciiTheme="majorHAnsi" w:hAnsiTheme="majorHAnsi"/>
          <w:color w:val="auto"/>
          <w:sz w:val="20"/>
          <w:szCs w:val="20"/>
          <w:lang w:val="es-CO"/>
        </w:rPr>
        <w:footnoteReference w:id="19"/>
      </w:r>
      <w:r w:rsidR="0065706A" w:rsidRPr="006A39C6">
        <w:rPr>
          <w:rFonts w:asciiTheme="majorHAnsi" w:hAnsiTheme="majorHAnsi"/>
          <w:color w:val="auto"/>
          <w:sz w:val="20"/>
          <w:szCs w:val="20"/>
          <w:lang w:val="es-CO"/>
        </w:rPr>
        <w:t>.</w:t>
      </w:r>
    </w:p>
    <w:p w14:paraId="65DD8709" w14:textId="77777777" w:rsidR="006B0E02" w:rsidRPr="006B0E02" w:rsidRDefault="006B0E02" w:rsidP="006B0E02">
      <w:pPr>
        <w:jc w:val="both"/>
        <w:rPr>
          <w:rFonts w:asciiTheme="majorHAnsi" w:hAnsiTheme="majorHAnsi"/>
          <w:b/>
          <w:sz w:val="20"/>
          <w:szCs w:val="20"/>
        </w:rPr>
      </w:pPr>
    </w:p>
    <w:p w14:paraId="7E926179" w14:textId="77777777" w:rsidR="0065706A" w:rsidRPr="00E22316" w:rsidRDefault="0065706A" w:rsidP="0065706A">
      <w:pPr>
        <w:pStyle w:val="ListParagraph"/>
        <w:numPr>
          <w:ilvl w:val="0"/>
          <w:numId w:val="55"/>
        </w:numPr>
        <w:ind w:left="0" w:firstLine="630"/>
        <w:jc w:val="both"/>
        <w:rPr>
          <w:rFonts w:asciiTheme="majorHAnsi" w:hAnsiTheme="majorHAnsi"/>
          <w:b/>
          <w:color w:val="auto"/>
          <w:sz w:val="20"/>
          <w:szCs w:val="20"/>
          <w:lang w:val="es-CO"/>
        </w:rPr>
      </w:pPr>
      <w:r>
        <w:rPr>
          <w:rFonts w:asciiTheme="majorHAnsi" w:hAnsiTheme="majorHAnsi"/>
          <w:color w:val="auto"/>
          <w:sz w:val="20"/>
          <w:szCs w:val="20"/>
          <w:lang w:val="es-CO"/>
        </w:rPr>
        <w:t xml:space="preserve">El 4 </w:t>
      </w:r>
      <w:r w:rsidRPr="004A1FC2">
        <w:rPr>
          <w:rFonts w:asciiTheme="majorHAnsi" w:hAnsiTheme="majorHAnsi"/>
          <w:color w:val="auto"/>
          <w:sz w:val="20"/>
          <w:szCs w:val="20"/>
          <w:lang w:val="es-CO"/>
        </w:rPr>
        <w:t>de diciembre de 2002 la presunta víctima interpuso amparo en contra de</w:t>
      </w:r>
      <w:r w:rsidR="00582012">
        <w:rPr>
          <w:rFonts w:asciiTheme="majorHAnsi" w:hAnsiTheme="majorHAnsi"/>
          <w:color w:val="auto"/>
          <w:sz w:val="20"/>
          <w:szCs w:val="20"/>
          <w:lang w:val="es-CO"/>
        </w:rPr>
        <w:t xml:space="preserve"> esta</w:t>
      </w:r>
      <w:r w:rsidRPr="004A1FC2">
        <w:rPr>
          <w:rFonts w:asciiTheme="majorHAnsi" w:hAnsiTheme="majorHAnsi"/>
          <w:color w:val="auto"/>
          <w:sz w:val="20"/>
          <w:szCs w:val="20"/>
          <w:lang w:val="es-CO"/>
        </w:rPr>
        <w:t xml:space="preserve"> decisión</w:t>
      </w:r>
      <w:r w:rsidR="00582012">
        <w:rPr>
          <w:rFonts w:asciiTheme="majorHAnsi" w:hAnsiTheme="majorHAnsi"/>
          <w:color w:val="auto"/>
          <w:sz w:val="20"/>
          <w:szCs w:val="20"/>
          <w:lang w:val="es-CO"/>
        </w:rPr>
        <w:t>,</w:t>
      </w:r>
      <w:r w:rsidRPr="004A1FC2">
        <w:rPr>
          <w:rFonts w:asciiTheme="majorHAnsi" w:hAnsiTheme="majorHAnsi"/>
          <w:color w:val="auto"/>
          <w:sz w:val="20"/>
          <w:szCs w:val="20"/>
          <w:lang w:val="es-CO"/>
        </w:rPr>
        <w:t xml:space="preserve"> aleg</w:t>
      </w:r>
      <w:r w:rsidR="00582012">
        <w:rPr>
          <w:rFonts w:asciiTheme="majorHAnsi" w:hAnsiTheme="majorHAnsi"/>
          <w:color w:val="auto"/>
          <w:sz w:val="20"/>
          <w:szCs w:val="20"/>
          <w:lang w:val="es-CO"/>
        </w:rPr>
        <w:t>ando</w:t>
      </w:r>
      <w:r w:rsidRPr="004A1FC2">
        <w:rPr>
          <w:rFonts w:asciiTheme="majorHAnsi" w:hAnsiTheme="majorHAnsi"/>
          <w:color w:val="auto"/>
          <w:sz w:val="20"/>
          <w:szCs w:val="20"/>
          <w:lang w:val="es-CO"/>
        </w:rPr>
        <w:t xml:space="preserve"> que</w:t>
      </w:r>
      <w:r w:rsidR="00B91683" w:rsidRPr="004A1FC2">
        <w:rPr>
          <w:rFonts w:asciiTheme="majorHAnsi" w:hAnsiTheme="majorHAnsi"/>
          <w:color w:val="auto"/>
          <w:sz w:val="20"/>
          <w:szCs w:val="20"/>
          <w:lang w:val="es-CO"/>
        </w:rPr>
        <w:t xml:space="preserve"> se había desempeñado como magistrado del Poder Judicial desde 1994, habiendo demostrado plena honestidad y probidad en el ejercicio del cargo,</w:t>
      </w:r>
      <w:r w:rsidR="007A117C">
        <w:rPr>
          <w:rFonts w:asciiTheme="majorHAnsi" w:hAnsiTheme="majorHAnsi"/>
          <w:color w:val="auto"/>
          <w:sz w:val="20"/>
          <w:szCs w:val="20"/>
          <w:lang w:val="es-CO"/>
        </w:rPr>
        <w:t xml:space="preserve"> a pesar de lo cual </w:t>
      </w:r>
      <w:r w:rsidR="008B2816">
        <w:rPr>
          <w:rFonts w:asciiTheme="majorHAnsi" w:hAnsiTheme="majorHAnsi"/>
          <w:color w:val="auto"/>
          <w:sz w:val="20"/>
          <w:szCs w:val="20"/>
          <w:lang w:val="es-CO"/>
        </w:rPr>
        <w:t>el CNM no</w:t>
      </w:r>
      <w:r w:rsidR="00702559" w:rsidRPr="004A1FC2">
        <w:rPr>
          <w:rFonts w:asciiTheme="majorHAnsi" w:hAnsiTheme="majorHAnsi"/>
          <w:color w:val="auto"/>
          <w:sz w:val="20"/>
          <w:szCs w:val="20"/>
          <w:lang w:val="es-CO"/>
        </w:rPr>
        <w:t xml:space="preserve"> lo ratificó</w:t>
      </w:r>
      <w:r w:rsidR="00B91683" w:rsidRPr="004A1FC2">
        <w:rPr>
          <w:rFonts w:asciiTheme="majorHAnsi" w:hAnsiTheme="majorHAnsi"/>
          <w:color w:val="auto"/>
          <w:sz w:val="20"/>
          <w:szCs w:val="20"/>
          <w:lang w:val="es-CO"/>
        </w:rPr>
        <w:t xml:space="preserve"> sin motivación alguna y sin respetar su debido proceso</w:t>
      </w:r>
      <w:r w:rsidR="00B91683" w:rsidRPr="004A1FC2">
        <w:rPr>
          <w:rStyle w:val="FootnoteReference"/>
          <w:rFonts w:asciiTheme="majorHAnsi" w:hAnsiTheme="majorHAnsi"/>
          <w:color w:val="auto"/>
          <w:sz w:val="20"/>
          <w:szCs w:val="20"/>
          <w:lang w:val="es-CO"/>
        </w:rPr>
        <w:footnoteReference w:id="20"/>
      </w:r>
      <w:r w:rsidR="006552F0" w:rsidRPr="004A1FC2">
        <w:rPr>
          <w:rFonts w:asciiTheme="majorHAnsi" w:hAnsiTheme="majorHAnsi"/>
          <w:color w:val="auto"/>
          <w:sz w:val="20"/>
          <w:szCs w:val="20"/>
          <w:lang w:val="es-CO"/>
        </w:rPr>
        <w:t>.</w:t>
      </w:r>
    </w:p>
    <w:p w14:paraId="50B24CCD" w14:textId="77777777" w:rsidR="0065706A" w:rsidRPr="00E22316" w:rsidRDefault="0065706A" w:rsidP="0065706A">
      <w:pPr>
        <w:pStyle w:val="ListParagraph"/>
        <w:rPr>
          <w:rFonts w:asciiTheme="majorHAnsi" w:hAnsiTheme="majorHAnsi"/>
          <w:b/>
          <w:color w:val="auto"/>
          <w:sz w:val="20"/>
          <w:szCs w:val="20"/>
          <w:lang w:val="es-CO"/>
        </w:rPr>
      </w:pPr>
    </w:p>
    <w:p w14:paraId="63393966" w14:textId="77777777" w:rsidR="0065706A" w:rsidRPr="00794F52" w:rsidRDefault="0065706A" w:rsidP="00794F52">
      <w:pPr>
        <w:pStyle w:val="ListParagraph"/>
        <w:numPr>
          <w:ilvl w:val="0"/>
          <w:numId w:val="55"/>
        </w:numPr>
        <w:ind w:left="0" w:firstLine="630"/>
        <w:jc w:val="both"/>
        <w:rPr>
          <w:rFonts w:asciiTheme="majorHAnsi" w:hAnsiTheme="majorHAnsi"/>
          <w:color w:val="auto"/>
          <w:sz w:val="20"/>
          <w:szCs w:val="20"/>
          <w:lang w:val="es-CO"/>
        </w:rPr>
      </w:pPr>
      <w:r w:rsidRPr="008A4067">
        <w:rPr>
          <w:rFonts w:asciiTheme="majorHAnsi" w:hAnsiTheme="majorHAnsi"/>
          <w:color w:val="auto"/>
          <w:sz w:val="20"/>
          <w:szCs w:val="20"/>
          <w:lang w:val="es-CO"/>
        </w:rPr>
        <w:t xml:space="preserve">El 5 de diciembre de 2002 </w:t>
      </w:r>
      <w:r w:rsidR="00051434" w:rsidRPr="008A4067">
        <w:rPr>
          <w:rFonts w:asciiTheme="majorHAnsi" w:hAnsiTheme="majorHAnsi"/>
          <w:color w:val="auto"/>
          <w:sz w:val="20"/>
          <w:szCs w:val="20"/>
          <w:lang w:val="es-CO"/>
        </w:rPr>
        <w:t xml:space="preserve">se </w:t>
      </w:r>
      <w:r w:rsidRPr="008A4067">
        <w:rPr>
          <w:rFonts w:asciiTheme="majorHAnsi" w:hAnsiTheme="majorHAnsi"/>
          <w:color w:val="auto"/>
          <w:sz w:val="20"/>
          <w:szCs w:val="20"/>
          <w:lang w:val="es-CO"/>
        </w:rPr>
        <w:t>declaró improcedente la demanda de amparo</w:t>
      </w:r>
      <w:r w:rsidR="00051434" w:rsidRPr="008A4067">
        <w:rPr>
          <w:rFonts w:asciiTheme="majorHAnsi" w:hAnsiTheme="majorHAnsi"/>
          <w:color w:val="auto"/>
          <w:sz w:val="20"/>
          <w:szCs w:val="20"/>
          <w:lang w:val="es-CO"/>
        </w:rPr>
        <w:t xml:space="preserve"> en primera instancia</w:t>
      </w:r>
      <w:r w:rsidR="008A4067" w:rsidRPr="008A4067">
        <w:rPr>
          <w:rFonts w:asciiTheme="majorHAnsi" w:hAnsiTheme="majorHAnsi"/>
          <w:color w:val="auto"/>
          <w:sz w:val="20"/>
          <w:szCs w:val="20"/>
          <w:lang w:val="es-CO"/>
        </w:rPr>
        <w:t>.</w:t>
      </w:r>
      <w:r w:rsidR="001F11D6" w:rsidRPr="008A4067">
        <w:rPr>
          <w:rFonts w:asciiTheme="majorHAnsi" w:hAnsiTheme="majorHAnsi"/>
          <w:color w:val="auto"/>
          <w:sz w:val="20"/>
          <w:szCs w:val="20"/>
          <w:lang w:val="es-CO"/>
        </w:rPr>
        <w:t xml:space="preserve"> </w:t>
      </w:r>
      <w:r w:rsidR="00A53780" w:rsidRPr="008A4067">
        <w:rPr>
          <w:rFonts w:asciiTheme="majorHAnsi" w:hAnsiTheme="majorHAnsi"/>
          <w:sz w:val="20"/>
          <w:szCs w:val="20"/>
          <w:lang w:val="es-CO"/>
        </w:rPr>
        <w:t>E</w:t>
      </w:r>
      <w:r w:rsidRPr="008A4067">
        <w:rPr>
          <w:rFonts w:asciiTheme="majorHAnsi" w:hAnsiTheme="majorHAnsi"/>
          <w:sz w:val="20"/>
          <w:szCs w:val="20"/>
          <w:lang w:val="es-CO"/>
        </w:rPr>
        <w:t xml:space="preserve">l peticionario interpuso un recurso de apelación </w:t>
      </w:r>
      <w:r w:rsidR="00DB4E9E" w:rsidRPr="008A4067">
        <w:rPr>
          <w:rFonts w:asciiTheme="majorHAnsi" w:hAnsiTheme="majorHAnsi"/>
          <w:sz w:val="20"/>
          <w:szCs w:val="20"/>
          <w:lang w:val="es-CO"/>
        </w:rPr>
        <w:t>y e</w:t>
      </w:r>
      <w:r w:rsidRPr="008A4067">
        <w:rPr>
          <w:rFonts w:asciiTheme="majorHAnsi" w:hAnsiTheme="majorHAnsi"/>
          <w:sz w:val="20"/>
          <w:szCs w:val="20"/>
          <w:lang w:val="es-CO"/>
        </w:rPr>
        <w:t>l 21 de marzo de 2003 la Tercera Sala Civil declaró nula la sentencia</w:t>
      </w:r>
      <w:r w:rsidR="008A4067" w:rsidRPr="008A4067">
        <w:rPr>
          <w:rFonts w:asciiTheme="majorHAnsi" w:hAnsiTheme="majorHAnsi"/>
          <w:sz w:val="20"/>
          <w:szCs w:val="20"/>
          <w:lang w:val="es-CO"/>
        </w:rPr>
        <w:t>.</w:t>
      </w:r>
      <w:r w:rsidRPr="008A4067">
        <w:rPr>
          <w:rFonts w:asciiTheme="majorHAnsi" w:hAnsiTheme="majorHAnsi"/>
          <w:sz w:val="20"/>
          <w:szCs w:val="20"/>
          <w:lang w:val="es-CO"/>
        </w:rPr>
        <w:t xml:space="preserve"> </w:t>
      </w:r>
      <w:r w:rsidR="006B0E02" w:rsidRPr="008A4067">
        <w:rPr>
          <w:rFonts w:asciiTheme="majorHAnsi" w:hAnsiTheme="majorHAnsi"/>
          <w:sz w:val="20"/>
          <w:szCs w:val="20"/>
          <w:lang w:val="es-CO"/>
        </w:rPr>
        <w:t xml:space="preserve">Posteriormente, </w:t>
      </w:r>
      <w:r w:rsidRPr="008A4067">
        <w:rPr>
          <w:rFonts w:asciiTheme="majorHAnsi" w:hAnsiTheme="majorHAnsi"/>
          <w:sz w:val="20"/>
          <w:szCs w:val="20"/>
          <w:lang w:val="es-CO"/>
        </w:rPr>
        <w:t>la presunta víctima interpuso recurso extraordin</w:t>
      </w:r>
      <w:r w:rsidR="00203754" w:rsidRPr="008A4067">
        <w:rPr>
          <w:rFonts w:asciiTheme="majorHAnsi" w:hAnsiTheme="majorHAnsi"/>
          <w:sz w:val="20"/>
          <w:szCs w:val="20"/>
          <w:lang w:val="es-CO"/>
        </w:rPr>
        <w:t>ario ante el</w:t>
      </w:r>
      <w:r w:rsidRPr="008A4067">
        <w:rPr>
          <w:rFonts w:asciiTheme="majorHAnsi" w:hAnsiTheme="majorHAnsi"/>
          <w:sz w:val="20"/>
          <w:szCs w:val="20"/>
          <w:lang w:val="es-CO"/>
        </w:rPr>
        <w:t xml:space="preserve"> Tribunal Constitucional</w:t>
      </w:r>
      <w:r w:rsidR="00A86FD6">
        <w:rPr>
          <w:rFonts w:asciiTheme="majorHAnsi" w:hAnsiTheme="majorHAnsi"/>
          <w:sz w:val="20"/>
          <w:szCs w:val="20"/>
          <w:lang w:val="es-CO"/>
        </w:rPr>
        <w:t>,</w:t>
      </w:r>
      <w:r w:rsidR="008A4067" w:rsidRPr="008A4067">
        <w:rPr>
          <w:rFonts w:asciiTheme="majorHAnsi" w:hAnsiTheme="majorHAnsi"/>
          <w:sz w:val="20"/>
          <w:szCs w:val="20"/>
          <w:lang w:val="es-CO"/>
        </w:rPr>
        <w:t xml:space="preserve"> que el </w:t>
      </w:r>
      <w:r w:rsidR="00203754" w:rsidRPr="008A4067">
        <w:rPr>
          <w:rFonts w:asciiTheme="majorHAnsi" w:hAnsiTheme="majorHAnsi"/>
          <w:sz w:val="20"/>
          <w:szCs w:val="20"/>
          <w:lang w:val="es-CO"/>
        </w:rPr>
        <w:t xml:space="preserve">15 de julio de 2003 </w:t>
      </w:r>
      <w:r w:rsidRPr="008A4067">
        <w:rPr>
          <w:rFonts w:asciiTheme="majorHAnsi" w:hAnsiTheme="majorHAnsi"/>
          <w:sz w:val="20"/>
          <w:szCs w:val="20"/>
          <w:lang w:val="es-CO"/>
        </w:rPr>
        <w:t>declaró infundada la acción de amparo ya que la función de ratificación ejercida por el CNM “excepcionalmente puede ser revisada en los supuestos de ejercicio irregular” y en el caso del peticionario “no se encuentran razones objetivas que permitan considerar que tal situación se ha presentado”</w:t>
      </w:r>
      <w:r>
        <w:rPr>
          <w:rStyle w:val="FootnoteReference"/>
          <w:rFonts w:asciiTheme="majorHAnsi" w:hAnsiTheme="majorHAnsi"/>
          <w:color w:val="auto"/>
          <w:sz w:val="20"/>
          <w:szCs w:val="20"/>
          <w:lang w:val="es-CO"/>
        </w:rPr>
        <w:footnoteReference w:id="21"/>
      </w:r>
      <w:r w:rsidRPr="008A4067">
        <w:rPr>
          <w:rFonts w:asciiTheme="majorHAnsi" w:hAnsiTheme="majorHAnsi"/>
          <w:sz w:val="20"/>
          <w:szCs w:val="20"/>
          <w:lang w:val="es-CO"/>
        </w:rPr>
        <w:t xml:space="preserve">. </w:t>
      </w:r>
      <w:r w:rsidR="005E7390">
        <w:rPr>
          <w:rFonts w:asciiTheme="majorHAnsi" w:hAnsiTheme="majorHAnsi"/>
          <w:sz w:val="20"/>
          <w:szCs w:val="20"/>
          <w:lang w:val="es-CO"/>
        </w:rPr>
        <w:t>Agregó que:</w:t>
      </w:r>
    </w:p>
    <w:p w14:paraId="255BF199" w14:textId="77777777" w:rsidR="0065706A" w:rsidRPr="007F0BB3" w:rsidRDefault="0065706A" w:rsidP="0065706A">
      <w:pPr>
        <w:pStyle w:val="ListParagraph"/>
        <w:rPr>
          <w:rFonts w:asciiTheme="majorHAnsi" w:hAnsiTheme="majorHAnsi"/>
          <w:color w:val="auto"/>
          <w:sz w:val="20"/>
          <w:szCs w:val="20"/>
          <w:lang w:val="es-CO"/>
        </w:rPr>
      </w:pPr>
    </w:p>
    <w:p w14:paraId="53503181" w14:textId="77777777" w:rsidR="0065706A" w:rsidRDefault="0065706A" w:rsidP="007B73ED">
      <w:pPr>
        <w:pStyle w:val="ListParagraph"/>
        <w:ind w:left="630" w:right="720"/>
        <w:jc w:val="both"/>
        <w:rPr>
          <w:rFonts w:asciiTheme="majorHAnsi" w:hAnsiTheme="majorHAnsi"/>
          <w:color w:val="auto"/>
          <w:sz w:val="20"/>
          <w:szCs w:val="20"/>
          <w:lang w:val="es-CO"/>
        </w:rPr>
      </w:pPr>
      <w:r>
        <w:rPr>
          <w:rFonts w:asciiTheme="majorHAnsi" w:hAnsiTheme="majorHAnsi"/>
          <w:color w:val="auto"/>
          <w:sz w:val="20"/>
          <w:szCs w:val="20"/>
          <w:lang w:val="es-CO"/>
        </w:rPr>
        <w:t>(…) el derecho de</w:t>
      </w:r>
      <w:r w:rsidRPr="007F0BB3">
        <w:rPr>
          <w:rFonts w:asciiTheme="majorHAnsi" w:hAnsiTheme="majorHAnsi"/>
          <w:color w:val="auto"/>
          <w:sz w:val="20"/>
          <w:szCs w:val="20"/>
          <w:lang w:val="es-CO"/>
        </w:rPr>
        <w:t xml:space="preserve"> permanecer en el servicio no es cronológicamente infinito o hasta que se cumpla una determinada edad, sino que está prefijado en el tiempo; esto es,</w:t>
      </w:r>
      <w:r>
        <w:rPr>
          <w:rFonts w:asciiTheme="majorHAnsi" w:hAnsiTheme="majorHAnsi"/>
          <w:color w:val="auto"/>
          <w:sz w:val="20"/>
          <w:szCs w:val="20"/>
          <w:lang w:val="es-CO"/>
        </w:rPr>
        <w:t xml:space="preserve"> por 7 años, culminados los cual</w:t>
      </w:r>
      <w:r w:rsidRPr="007F0BB3">
        <w:rPr>
          <w:rFonts w:asciiTheme="majorHAnsi" w:hAnsiTheme="majorHAnsi"/>
          <w:color w:val="auto"/>
          <w:sz w:val="20"/>
          <w:szCs w:val="20"/>
          <w:lang w:val="es-CO"/>
        </w:rPr>
        <w:t>es la permanen</w:t>
      </w:r>
      <w:r>
        <w:rPr>
          <w:rFonts w:asciiTheme="majorHAnsi" w:hAnsiTheme="majorHAnsi"/>
          <w:color w:val="auto"/>
          <w:sz w:val="20"/>
          <w:szCs w:val="20"/>
          <w:lang w:val="es-CO"/>
        </w:rPr>
        <w:t xml:space="preserve">cia en el servicio se encuentra </w:t>
      </w:r>
      <w:r w:rsidRPr="007F0BB3">
        <w:rPr>
          <w:rFonts w:asciiTheme="majorHAnsi" w:hAnsiTheme="majorHAnsi"/>
          <w:color w:val="auto"/>
          <w:sz w:val="20"/>
          <w:szCs w:val="20"/>
          <w:lang w:val="es-CO"/>
        </w:rPr>
        <w:t>sujeta a la condición de</w:t>
      </w:r>
      <w:r>
        <w:rPr>
          <w:rFonts w:asciiTheme="majorHAnsi" w:hAnsiTheme="majorHAnsi"/>
          <w:color w:val="auto"/>
          <w:sz w:val="20"/>
          <w:szCs w:val="20"/>
          <w:lang w:val="es-CO"/>
        </w:rPr>
        <w:t xml:space="preserve"> que el evaluado sea </w:t>
      </w:r>
      <w:r w:rsidR="005B0986">
        <w:rPr>
          <w:rFonts w:asciiTheme="majorHAnsi" w:hAnsiTheme="majorHAnsi"/>
          <w:color w:val="auto"/>
          <w:sz w:val="20"/>
          <w:szCs w:val="20"/>
          <w:lang w:val="es-CO"/>
        </w:rPr>
        <w:t>ratificado (…)</w:t>
      </w:r>
    </w:p>
    <w:p w14:paraId="4688012C" w14:textId="77777777" w:rsidR="0065706A" w:rsidRDefault="0065706A" w:rsidP="007B73ED">
      <w:pPr>
        <w:pStyle w:val="ListParagraph"/>
        <w:ind w:left="630" w:right="720"/>
        <w:jc w:val="both"/>
        <w:rPr>
          <w:rFonts w:asciiTheme="majorHAnsi" w:hAnsiTheme="majorHAnsi"/>
          <w:color w:val="auto"/>
          <w:sz w:val="20"/>
          <w:szCs w:val="20"/>
          <w:lang w:val="es-CO"/>
        </w:rPr>
      </w:pPr>
    </w:p>
    <w:p w14:paraId="6AA1D09F" w14:textId="77777777" w:rsidR="0065706A" w:rsidRDefault="007B73ED" w:rsidP="007B73ED">
      <w:pPr>
        <w:pStyle w:val="ListParagraph"/>
        <w:ind w:left="630" w:right="720"/>
        <w:jc w:val="both"/>
        <w:rPr>
          <w:rFonts w:asciiTheme="majorHAnsi" w:hAnsiTheme="majorHAnsi"/>
          <w:color w:val="auto"/>
          <w:sz w:val="20"/>
          <w:szCs w:val="20"/>
          <w:lang w:val="es-CO"/>
        </w:rPr>
      </w:pPr>
      <w:r>
        <w:rPr>
          <w:rFonts w:asciiTheme="majorHAnsi" w:hAnsiTheme="majorHAnsi"/>
          <w:color w:val="auto"/>
          <w:sz w:val="20"/>
          <w:szCs w:val="20"/>
          <w:lang w:val="es-CO"/>
        </w:rPr>
        <w:t>(…) la no ratificación</w:t>
      </w:r>
      <w:r w:rsidR="0065706A" w:rsidRPr="007F0BB3">
        <w:rPr>
          <w:rFonts w:asciiTheme="majorHAnsi" w:hAnsiTheme="majorHAnsi"/>
          <w:color w:val="auto"/>
          <w:sz w:val="20"/>
          <w:szCs w:val="20"/>
          <w:lang w:val="es-CO"/>
        </w:rPr>
        <w:t xml:space="preserve"> constituye un voto de no confianza sobre la manera de</w:t>
      </w:r>
      <w:r w:rsidR="0065706A">
        <w:rPr>
          <w:rFonts w:asciiTheme="majorHAnsi" w:hAnsiTheme="majorHAnsi"/>
          <w:color w:val="auto"/>
          <w:sz w:val="20"/>
          <w:szCs w:val="20"/>
          <w:lang w:val="es-CO"/>
        </w:rPr>
        <w:t xml:space="preserve"> cómo se ha ejercido el cargo (…) </w:t>
      </w:r>
      <w:r w:rsidR="0065706A" w:rsidRPr="007F0BB3">
        <w:rPr>
          <w:rFonts w:asciiTheme="majorHAnsi" w:hAnsiTheme="majorHAnsi"/>
          <w:color w:val="auto"/>
          <w:sz w:val="20"/>
          <w:szCs w:val="20"/>
          <w:lang w:val="es-CO"/>
        </w:rPr>
        <w:t xml:space="preserve">se sustenta en un conjunto de indicios que, a juicio de </w:t>
      </w:r>
      <w:r w:rsidR="0065706A" w:rsidRPr="004340E2">
        <w:rPr>
          <w:rFonts w:asciiTheme="majorHAnsi" w:hAnsiTheme="majorHAnsi"/>
          <w:color w:val="auto"/>
          <w:sz w:val="20"/>
          <w:szCs w:val="20"/>
          <w:lang w:val="es-CO"/>
        </w:rPr>
        <w:t>los Consejeros del CNM, tornan inconveniente que se renueve la confianza para el ejercicio del cargo (…)</w:t>
      </w:r>
      <w:r w:rsidR="005B0986" w:rsidRPr="004340E2">
        <w:rPr>
          <w:rFonts w:asciiTheme="majorHAnsi" w:hAnsiTheme="majorHAnsi"/>
          <w:color w:val="auto"/>
          <w:sz w:val="20"/>
          <w:szCs w:val="20"/>
          <w:lang w:val="es-CO"/>
        </w:rPr>
        <w:t xml:space="preserve"> se construye a partir de una convicción de conciencia expresada en un voto secreto, aunque sustentada en determinados criterios (cfr. La Ley Orgánica del CNM y su Reglamento) (…) </w:t>
      </w:r>
      <w:r w:rsidR="002662CF" w:rsidRPr="004340E2">
        <w:rPr>
          <w:rFonts w:asciiTheme="majorHAnsi" w:hAnsiTheme="majorHAnsi"/>
          <w:color w:val="auto"/>
          <w:sz w:val="20"/>
          <w:szCs w:val="20"/>
          <w:lang w:val="es-CO"/>
        </w:rPr>
        <w:t>la decisi</w:t>
      </w:r>
      <w:r w:rsidR="00167F7E" w:rsidRPr="004340E2">
        <w:rPr>
          <w:rFonts w:asciiTheme="majorHAnsi" w:hAnsiTheme="majorHAnsi"/>
          <w:color w:val="auto"/>
          <w:sz w:val="20"/>
          <w:szCs w:val="20"/>
          <w:lang w:val="es-CO"/>
        </w:rPr>
        <w:t>ón que se tome no requiere ser motivada</w:t>
      </w:r>
      <w:r w:rsidRPr="007B73ED">
        <w:rPr>
          <w:sz w:val="20"/>
          <w:szCs w:val="20"/>
          <w:vertAlign w:val="superscript"/>
        </w:rPr>
        <w:footnoteReference w:id="22"/>
      </w:r>
      <w:r w:rsidR="0065706A" w:rsidRPr="004340E2">
        <w:rPr>
          <w:rFonts w:asciiTheme="majorHAnsi" w:hAnsiTheme="majorHAnsi"/>
          <w:color w:val="auto"/>
          <w:sz w:val="20"/>
          <w:szCs w:val="20"/>
          <w:lang w:val="es-CO"/>
        </w:rPr>
        <w:t>.</w:t>
      </w:r>
    </w:p>
    <w:p w14:paraId="5CCD4338" w14:textId="77777777" w:rsidR="0065706A" w:rsidRPr="007F0BB3" w:rsidRDefault="0065706A" w:rsidP="0065706A">
      <w:pPr>
        <w:jc w:val="both"/>
        <w:rPr>
          <w:rFonts w:asciiTheme="majorHAnsi" w:hAnsiTheme="majorHAnsi"/>
          <w:sz w:val="20"/>
          <w:szCs w:val="20"/>
        </w:rPr>
      </w:pPr>
    </w:p>
    <w:p w14:paraId="4998A4EB" w14:textId="77777777" w:rsidR="0065706A" w:rsidRPr="00D506F0" w:rsidRDefault="00FD6E0F" w:rsidP="0065706A">
      <w:pPr>
        <w:pStyle w:val="ListParagraph"/>
        <w:numPr>
          <w:ilvl w:val="0"/>
          <w:numId w:val="55"/>
        </w:numPr>
        <w:ind w:left="0" w:firstLine="630"/>
        <w:jc w:val="both"/>
        <w:rPr>
          <w:rFonts w:asciiTheme="majorHAnsi" w:hAnsiTheme="majorHAnsi"/>
          <w:color w:val="auto"/>
          <w:sz w:val="20"/>
          <w:szCs w:val="20"/>
          <w:lang w:val="es-CO"/>
        </w:rPr>
      </w:pPr>
      <w:r>
        <w:rPr>
          <w:rFonts w:asciiTheme="majorHAnsi" w:hAnsiTheme="majorHAnsi"/>
          <w:color w:val="auto"/>
          <w:sz w:val="20"/>
          <w:szCs w:val="20"/>
          <w:lang w:val="es-CO"/>
        </w:rPr>
        <w:t>E</w:t>
      </w:r>
      <w:r w:rsidR="00203754">
        <w:rPr>
          <w:rFonts w:asciiTheme="majorHAnsi" w:hAnsiTheme="majorHAnsi"/>
          <w:color w:val="auto"/>
          <w:sz w:val="20"/>
          <w:szCs w:val="20"/>
          <w:lang w:val="es-CO"/>
        </w:rPr>
        <w:t>l Tribunal Constitucional</w:t>
      </w:r>
      <w:r w:rsidR="0065706A" w:rsidRPr="007F0BB3">
        <w:rPr>
          <w:rFonts w:asciiTheme="majorHAnsi" w:hAnsiTheme="majorHAnsi"/>
          <w:color w:val="auto"/>
          <w:sz w:val="20"/>
          <w:szCs w:val="20"/>
          <w:lang w:val="es-CO"/>
        </w:rPr>
        <w:t xml:space="preserve"> reconoció que la prohibición de reingresar al Poder Judicial era incompatible con los procedimientos de ratificación ya que estos no implicaban una sanción, de forma que decretó que dicha prohibición era inaplicable</w:t>
      </w:r>
      <w:r w:rsidR="0065706A" w:rsidRPr="00005536">
        <w:rPr>
          <w:sz w:val="20"/>
          <w:szCs w:val="20"/>
          <w:vertAlign w:val="superscript"/>
        </w:rPr>
        <w:footnoteReference w:id="23"/>
      </w:r>
      <w:r w:rsidR="0065706A" w:rsidRPr="007F0BB3">
        <w:rPr>
          <w:rFonts w:asciiTheme="majorHAnsi" w:hAnsiTheme="majorHAnsi"/>
          <w:color w:val="auto"/>
          <w:sz w:val="20"/>
          <w:szCs w:val="20"/>
          <w:lang w:val="es-CO"/>
        </w:rPr>
        <w:t>.</w:t>
      </w:r>
    </w:p>
    <w:p w14:paraId="7FFBA296" w14:textId="77777777" w:rsidR="0065706A" w:rsidRDefault="0065706A" w:rsidP="0065706A">
      <w:pPr>
        <w:pStyle w:val="ListParagraph"/>
        <w:rPr>
          <w:rFonts w:asciiTheme="majorHAnsi" w:hAnsiTheme="majorHAnsi"/>
          <w:b/>
          <w:color w:val="FF0000"/>
          <w:sz w:val="20"/>
          <w:szCs w:val="20"/>
          <w:lang w:val="es-CO"/>
        </w:rPr>
      </w:pPr>
    </w:p>
    <w:p w14:paraId="73993ED0" w14:textId="77777777" w:rsidR="0065706A" w:rsidRPr="00776B4C" w:rsidRDefault="0065706A" w:rsidP="003E17D7">
      <w:pPr>
        <w:pStyle w:val="Heading3"/>
        <w:numPr>
          <w:ilvl w:val="0"/>
          <w:numId w:val="58"/>
        </w:numPr>
        <w:spacing w:before="0" w:after="0"/>
        <w:ind w:hanging="90"/>
        <w:rPr>
          <w:rFonts w:asciiTheme="majorHAnsi" w:hAnsiTheme="majorHAnsi"/>
          <w:sz w:val="20"/>
          <w:szCs w:val="20"/>
          <w:lang w:val="es-ES"/>
        </w:rPr>
      </w:pPr>
      <w:bookmarkStart w:id="9" w:name="_Toc527450123"/>
      <w:r>
        <w:rPr>
          <w:rFonts w:asciiTheme="majorHAnsi" w:hAnsiTheme="majorHAnsi"/>
          <w:sz w:val="20"/>
          <w:szCs w:val="20"/>
          <w:lang w:val="es-ES"/>
        </w:rPr>
        <w:t>Walter Antonio Valenzuela Cerna</w:t>
      </w:r>
      <w:bookmarkEnd w:id="9"/>
    </w:p>
    <w:p w14:paraId="590BA82C" w14:textId="77777777" w:rsidR="0065706A" w:rsidRPr="000515A0" w:rsidRDefault="0065706A" w:rsidP="0065706A">
      <w:pPr>
        <w:pStyle w:val="ListParagraph"/>
        <w:rPr>
          <w:rFonts w:asciiTheme="majorHAnsi" w:hAnsiTheme="majorHAnsi"/>
          <w:b/>
          <w:color w:val="FF0000"/>
          <w:sz w:val="20"/>
          <w:szCs w:val="20"/>
          <w:lang w:val="es-ES"/>
        </w:rPr>
      </w:pPr>
    </w:p>
    <w:p w14:paraId="2F3F8E81" w14:textId="77777777" w:rsidR="0065706A" w:rsidRPr="00D506F0" w:rsidRDefault="00E75660" w:rsidP="0065706A">
      <w:pPr>
        <w:pStyle w:val="ListParagraph"/>
        <w:numPr>
          <w:ilvl w:val="0"/>
          <w:numId w:val="55"/>
        </w:numPr>
        <w:ind w:left="0" w:firstLine="630"/>
        <w:jc w:val="both"/>
        <w:rPr>
          <w:rFonts w:asciiTheme="majorHAnsi" w:hAnsiTheme="majorHAnsi"/>
          <w:b/>
          <w:color w:val="FF0000"/>
          <w:sz w:val="20"/>
          <w:szCs w:val="20"/>
          <w:lang w:val="es-ES_tradnl"/>
        </w:rPr>
      </w:pPr>
      <w:r>
        <w:rPr>
          <w:rFonts w:asciiTheme="majorHAnsi" w:hAnsiTheme="majorHAnsi"/>
          <w:color w:val="auto"/>
          <w:sz w:val="20"/>
          <w:lang w:val="es-ES_tradnl"/>
        </w:rPr>
        <w:t>E</w:t>
      </w:r>
      <w:r w:rsidR="0065706A" w:rsidRPr="00636361">
        <w:rPr>
          <w:rFonts w:asciiTheme="majorHAnsi" w:hAnsiTheme="majorHAnsi"/>
          <w:color w:val="auto"/>
          <w:sz w:val="20"/>
          <w:lang w:val="es-ES_tradnl"/>
        </w:rPr>
        <w:t xml:space="preserve">l </w:t>
      </w:r>
      <w:r w:rsidR="0065706A" w:rsidRPr="00D506F0">
        <w:rPr>
          <w:rFonts w:asciiTheme="majorHAnsi" w:hAnsiTheme="majorHAnsi"/>
          <w:sz w:val="20"/>
          <w:lang w:val="es-ES_tradnl"/>
        </w:rPr>
        <w:t xml:space="preserve">11 de diciembre de 1984 </w:t>
      </w:r>
      <w:r w:rsidR="0065706A">
        <w:rPr>
          <w:rFonts w:asciiTheme="majorHAnsi" w:hAnsiTheme="majorHAnsi"/>
          <w:sz w:val="20"/>
          <w:lang w:val="es-ES_tradnl"/>
        </w:rPr>
        <w:t>Walter Antonio</w:t>
      </w:r>
      <w:r w:rsidR="0065706A" w:rsidRPr="00D506F0">
        <w:rPr>
          <w:rFonts w:asciiTheme="majorHAnsi" w:hAnsiTheme="majorHAnsi"/>
          <w:sz w:val="20"/>
          <w:lang w:val="es-ES_tradnl"/>
        </w:rPr>
        <w:t xml:space="preserve"> Valenzuela Cerna fue nombrado como Juez del Tercer Juzgado de Paz Letrado de los Distritos de Surco y Surquillo</w:t>
      </w:r>
      <w:r w:rsidR="0065706A">
        <w:rPr>
          <w:rStyle w:val="FootnoteReference"/>
          <w:rFonts w:asciiTheme="majorHAnsi" w:hAnsiTheme="majorHAnsi"/>
          <w:sz w:val="20"/>
          <w:lang w:val="es-ES_tradnl"/>
        </w:rPr>
        <w:footnoteReference w:id="24"/>
      </w:r>
      <w:r w:rsidR="0065706A" w:rsidRPr="00D506F0">
        <w:rPr>
          <w:rFonts w:asciiTheme="majorHAnsi" w:hAnsiTheme="majorHAnsi"/>
          <w:sz w:val="20"/>
          <w:lang w:val="es-ES_tradnl"/>
        </w:rPr>
        <w:t>. El 6 de octubre de 1994 fue nombrado como Juez Especializado en lo Civil del Distrito Judicial de Lima</w:t>
      </w:r>
      <w:r w:rsidR="0065706A" w:rsidRPr="00525425">
        <w:rPr>
          <w:rStyle w:val="FootnoteReference"/>
          <w:rFonts w:asciiTheme="majorHAnsi" w:hAnsiTheme="majorHAnsi"/>
          <w:sz w:val="20"/>
          <w:lang w:val="es-ES_tradnl"/>
        </w:rPr>
        <w:footnoteReference w:id="25"/>
      </w:r>
      <w:r w:rsidR="0065706A" w:rsidRPr="00D506F0">
        <w:rPr>
          <w:rFonts w:asciiTheme="majorHAnsi" w:hAnsiTheme="majorHAnsi"/>
          <w:sz w:val="20"/>
          <w:lang w:val="es-ES_tradnl"/>
        </w:rPr>
        <w:t>.</w:t>
      </w:r>
    </w:p>
    <w:p w14:paraId="344AC1A2" w14:textId="77777777" w:rsidR="0065706A" w:rsidRPr="00525425" w:rsidRDefault="0065706A" w:rsidP="0065706A">
      <w:pPr>
        <w:pStyle w:val="ListParagraph"/>
        <w:ind w:left="630"/>
        <w:jc w:val="both"/>
        <w:rPr>
          <w:rFonts w:asciiTheme="majorHAnsi" w:hAnsiTheme="majorHAnsi"/>
          <w:b/>
          <w:color w:val="FF0000"/>
          <w:sz w:val="20"/>
          <w:szCs w:val="20"/>
          <w:lang w:val="es-ES_tradnl"/>
        </w:rPr>
      </w:pPr>
    </w:p>
    <w:p w14:paraId="32F3245E" w14:textId="77777777" w:rsidR="00B3413B" w:rsidRPr="004340E2" w:rsidRDefault="0065706A" w:rsidP="00B3413B">
      <w:pPr>
        <w:pStyle w:val="ListParagraph"/>
        <w:numPr>
          <w:ilvl w:val="0"/>
          <w:numId w:val="55"/>
        </w:numPr>
        <w:ind w:left="0" w:firstLine="630"/>
        <w:jc w:val="both"/>
        <w:rPr>
          <w:rFonts w:asciiTheme="majorHAnsi" w:hAnsiTheme="majorHAnsi"/>
          <w:color w:val="auto"/>
          <w:sz w:val="20"/>
          <w:szCs w:val="20"/>
          <w:lang w:val="es-CO"/>
        </w:rPr>
      </w:pPr>
      <w:r w:rsidRPr="004340E2">
        <w:rPr>
          <w:rFonts w:asciiTheme="majorHAnsi" w:hAnsiTheme="majorHAnsi"/>
          <w:color w:val="auto"/>
          <w:sz w:val="20"/>
          <w:szCs w:val="20"/>
          <w:lang w:val="es-CO"/>
        </w:rPr>
        <w:t>El 1 de junio de 2002 el Consejo Nacional de la Magistratura convocó al señor Valenzuela Cerna al proceso de evaluación y ratificación</w:t>
      </w:r>
      <w:r w:rsidRPr="004340E2">
        <w:rPr>
          <w:rStyle w:val="FootnoteReference"/>
          <w:rFonts w:asciiTheme="majorHAnsi" w:hAnsiTheme="majorHAnsi"/>
          <w:sz w:val="20"/>
          <w:szCs w:val="20"/>
          <w:lang w:val="es-ES"/>
        </w:rPr>
        <w:footnoteReference w:id="26"/>
      </w:r>
      <w:r w:rsidRPr="004340E2">
        <w:rPr>
          <w:rFonts w:asciiTheme="majorHAnsi" w:hAnsiTheme="majorHAnsi"/>
          <w:color w:val="auto"/>
          <w:sz w:val="20"/>
          <w:szCs w:val="20"/>
          <w:lang w:val="es-CO"/>
        </w:rPr>
        <w:t>.En la resolución de convocatoria se indicó</w:t>
      </w:r>
      <w:r w:rsidR="006552F0" w:rsidRPr="004340E2">
        <w:rPr>
          <w:rStyle w:val="FootnoteReference"/>
          <w:rFonts w:asciiTheme="majorHAnsi" w:hAnsiTheme="majorHAnsi"/>
          <w:color w:val="auto"/>
          <w:sz w:val="20"/>
          <w:szCs w:val="20"/>
          <w:lang w:val="es-CO"/>
        </w:rPr>
        <w:footnoteReference w:id="27"/>
      </w:r>
      <w:r w:rsidRPr="004340E2">
        <w:rPr>
          <w:rFonts w:asciiTheme="majorHAnsi" w:hAnsiTheme="majorHAnsi"/>
          <w:color w:val="auto"/>
          <w:sz w:val="20"/>
          <w:szCs w:val="20"/>
          <w:lang w:val="es-CO"/>
        </w:rPr>
        <w:t>:</w:t>
      </w:r>
      <w:r w:rsidR="00B3413B" w:rsidRPr="004340E2">
        <w:rPr>
          <w:rFonts w:asciiTheme="majorHAnsi" w:hAnsiTheme="majorHAnsi"/>
          <w:color w:val="auto"/>
          <w:sz w:val="20"/>
          <w:szCs w:val="20"/>
          <w:lang w:val="es-CO"/>
        </w:rPr>
        <w:t xml:space="preserve"> </w:t>
      </w:r>
    </w:p>
    <w:p w14:paraId="34C6ECB0" w14:textId="77777777" w:rsidR="00B3413B" w:rsidRPr="004340E2" w:rsidRDefault="00B3413B" w:rsidP="00B3413B">
      <w:pPr>
        <w:pStyle w:val="ListParagraph"/>
        <w:rPr>
          <w:rFonts w:asciiTheme="majorHAnsi" w:hAnsiTheme="majorHAnsi"/>
          <w:color w:val="auto"/>
          <w:sz w:val="20"/>
          <w:szCs w:val="20"/>
          <w:lang w:val="es-CO"/>
        </w:rPr>
      </w:pPr>
    </w:p>
    <w:p w14:paraId="4E72DACD" w14:textId="77777777" w:rsidR="00B3413B" w:rsidRPr="004340E2" w:rsidRDefault="00B3413B" w:rsidP="007A5EF8">
      <w:pPr>
        <w:pStyle w:val="ListParagraph"/>
        <w:ind w:left="630" w:right="720"/>
        <w:jc w:val="both"/>
        <w:rPr>
          <w:rFonts w:asciiTheme="majorHAnsi" w:hAnsiTheme="majorHAnsi"/>
          <w:color w:val="auto"/>
          <w:sz w:val="20"/>
          <w:szCs w:val="20"/>
          <w:lang w:val="es-CO"/>
        </w:rPr>
      </w:pPr>
      <w:r w:rsidRPr="004340E2">
        <w:rPr>
          <w:rFonts w:asciiTheme="majorHAnsi" w:hAnsiTheme="majorHAnsi"/>
          <w:color w:val="auto"/>
          <w:sz w:val="20"/>
          <w:szCs w:val="20"/>
          <w:lang w:val="es-CO"/>
        </w:rPr>
        <w:t>El Pleno del Consejo Nacional de la Magistratura, en sesión de fecha 30 de mayo de 2002, acordó el inicio de los procesos individuales de evaluación y ratificación de los siguientes magistrados: (…) 116 Valenzuela Cerna, Walter Antonio, Juez Especializado, Lima</w:t>
      </w:r>
      <w:r w:rsidR="007A560B" w:rsidRPr="004340E2">
        <w:rPr>
          <w:rFonts w:asciiTheme="majorHAnsi" w:hAnsiTheme="majorHAnsi"/>
          <w:color w:val="auto"/>
          <w:sz w:val="20"/>
          <w:szCs w:val="20"/>
          <w:lang w:val="es-CO"/>
        </w:rPr>
        <w:t xml:space="preserve"> (..</w:t>
      </w:r>
      <w:r w:rsidRPr="004340E2">
        <w:rPr>
          <w:rFonts w:asciiTheme="majorHAnsi" w:hAnsiTheme="majorHAnsi"/>
          <w:color w:val="auto"/>
          <w:sz w:val="20"/>
          <w:szCs w:val="20"/>
          <w:lang w:val="es-CO"/>
        </w:rPr>
        <w:t>.</w:t>
      </w:r>
      <w:r w:rsidR="007A560B" w:rsidRPr="004340E2">
        <w:rPr>
          <w:rFonts w:asciiTheme="majorHAnsi" w:hAnsiTheme="majorHAnsi"/>
          <w:color w:val="auto"/>
          <w:sz w:val="20"/>
          <w:szCs w:val="20"/>
          <w:lang w:val="es-CO"/>
        </w:rPr>
        <w:t>)</w:t>
      </w:r>
      <w:r w:rsidRPr="004340E2">
        <w:rPr>
          <w:rFonts w:asciiTheme="majorHAnsi" w:hAnsiTheme="majorHAnsi"/>
          <w:color w:val="auto"/>
          <w:sz w:val="20"/>
          <w:szCs w:val="20"/>
          <w:lang w:val="es-CO"/>
        </w:rPr>
        <w:t xml:space="preserve"> 4) Fecha de Inicio de los procesos: 1 de Julio de 2002 (…) 6) Información requerida a los evaluados: Los jueces convocados en el plazo de diez días hábiles contados a partir del día siguiente de la presente publicación remitirán al Consejo Nacional de la Magistratura su Currículum Vitae actualizado y documentado, copias de sus Declaraciones Juradas anuales de bienes y rentas, y demás declaraciones señaladas </w:t>
      </w:r>
      <w:r w:rsidR="00C213C7" w:rsidRPr="004340E2">
        <w:rPr>
          <w:rFonts w:asciiTheme="majorHAnsi" w:hAnsiTheme="majorHAnsi"/>
          <w:color w:val="auto"/>
          <w:sz w:val="20"/>
          <w:szCs w:val="20"/>
          <w:lang w:val="es-CO"/>
        </w:rPr>
        <w:t>[</w:t>
      </w:r>
      <w:r w:rsidRPr="004340E2">
        <w:rPr>
          <w:rFonts w:asciiTheme="majorHAnsi" w:hAnsiTheme="majorHAnsi"/>
          <w:color w:val="auto"/>
          <w:sz w:val="20"/>
          <w:szCs w:val="20"/>
          <w:lang w:val="es-CO"/>
        </w:rPr>
        <w:t>en el Reglamento</w:t>
      </w:r>
      <w:r w:rsidR="00C213C7" w:rsidRPr="004340E2">
        <w:rPr>
          <w:rFonts w:asciiTheme="majorHAnsi" w:hAnsiTheme="majorHAnsi"/>
          <w:color w:val="auto"/>
          <w:sz w:val="20"/>
          <w:szCs w:val="20"/>
          <w:lang w:val="es-CO"/>
        </w:rPr>
        <w:t>] (…)</w:t>
      </w:r>
      <w:r w:rsidR="00005536">
        <w:rPr>
          <w:rFonts w:asciiTheme="majorHAnsi" w:hAnsiTheme="majorHAnsi"/>
          <w:color w:val="auto"/>
          <w:sz w:val="20"/>
          <w:szCs w:val="20"/>
          <w:lang w:val="es-CO"/>
        </w:rPr>
        <w:t xml:space="preserve"> 7) Entrevista Personal: </w:t>
      </w:r>
      <w:r w:rsidRPr="004340E2">
        <w:rPr>
          <w:rFonts w:asciiTheme="majorHAnsi" w:hAnsiTheme="majorHAnsi"/>
          <w:color w:val="auto"/>
          <w:sz w:val="20"/>
          <w:szCs w:val="20"/>
          <w:lang w:val="es-CO"/>
        </w:rPr>
        <w:t>Los jueces convocados serán entrevistados personalmente, conforme el c</w:t>
      </w:r>
      <w:r w:rsidR="005E7308" w:rsidRPr="004340E2">
        <w:rPr>
          <w:rFonts w:asciiTheme="majorHAnsi" w:hAnsiTheme="majorHAnsi"/>
          <w:color w:val="auto"/>
          <w:sz w:val="20"/>
          <w:szCs w:val="20"/>
          <w:lang w:val="es-CO"/>
        </w:rPr>
        <w:t>r</w:t>
      </w:r>
      <w:r w:rsidRPr="004340E2">
        <w:rPr>
          <w:rFonts w:asciiTheme="majorHAnsi" w:hAnsiTheme="majorHAnsi"/>
          <w:color w:val="auto"/>
          <w:sz w:val="20"/>
          <w:szCs w:val="20"/>
          <w:lang w:val="es-CO"/>
        </w:rPr>
        <w:t xml:space="preserve">onograma que se publicará </w:t>
      </w:r>
      <w:r w:rsidR="005E7308" w:rsidRPr="004340E2">
        <w:rPr>
          <w:rFonts w:asciiTheme="majorHAnsi" w:hAnsiTheme="majorHAnsi"/>
          <w:color w:val="auto"/>
          <w:sz w:val="20"/>
          <w:szCs w:val="20"/>
          <w:lang w:val="es-CO"/>
        </w:rPr>
        <w:t>oportunamente en el Diario Oficial “El Peruano” y en otro de mayor circulación”.</w:t>
      </w:r>
    </w:p>
    <w:p w14:paraId="2740D386" w14:textId="77777777" w:rsidR="0065706A" w:rsidRPr="004340E2" w:rsidRDefault="0065706A" w:rsidP="007A5EF8">
      <w:pPr>
        <w:jc w:val="both"/>
        <w:rPr>
          <w:rFonts w:asciiTheme="majorHAnsi" w:hAnsiTheme="majorHAnsi"/>
          <w:sz w:val="20"/>
          <w:szCs w:val="20"/>
        </w:rPr>
      </w:pPr>
    </w:p>
    <w:p w14:paraId="7CFF887A" w14:textId="77777777" w:rsidR="0065706A" w:rsidRDefault="0065706A" w:rsidP="007A5EF8">
      <w:pPr>
        <w:pStyle w:val="ListParagraph"/>
        <w:numPr>
          <w:ilvl w:val="0"/>
          <w:numId w:val="55"/>
        </w:numPr>
        <w:ind w:left="0" w:firstLine="630"/>
        <w:jc w:val="both"/>
        <w:rPr>
          <w:rFonts w:asciiTheme="majorHAnsi" w:hAnsiTheme="majorHAnsi"/>
          <w:sz w:val="20"/>
          <w:szCs w:val="20"/>
          <w:lang w:val="es-ES"/>
        </w:rPr>
      </w:pPr>
      <w:r w:rsidRPr="004340E2">
        <w:rPr>
          <w:rFonts w:asciiTheme="majorHAnsi" w:hAnsiTheme="majorHAnsi"/>
          <w:sz w:val="20"/>
          <w:szCs w:val="20"/>
          <w:lang w:val="es-ES"/>
        </w:rPr>
        <w:t>El 20 de junio de 2002 la presunta víctima presentó acción de amparo en contra de la resolución de convocatoria argumentando que no le era aplicable el procedimiento de evaluación</w:t>
      </w:r>
      <w:r>
        <w:rPr>
          <w:rFonts w:asciiTheme="majorHAnsi" w:hAnsiTheme="majorHAnsi"/>
          <w:sz w:val="20"/>
          <w:szCs w:val="20"/>
          <w:lang w:val="es-ES"/>
        </w:rPr>
        <w:t xml:space="preserve"> y ratificación cada 7 años, porque ingresó a la función judicial durante la </w:t>
      </w:r>
      <w:r w:rsidR="001958EE">
        <w:rPr>
          <w:rFonts w:asciiTheme="majorHAnsi" w:hAnsiTheme="majorHAnsi"/>
          <w:sz w:val="20"/>
          <w:szCs w:val="20"/>
          <w:lang w:val="es-ES"/>
        </w:rPr>
        <w:t>vigencia de la C</w:t>
      </w:r>
      <w:r w:rsidRPr="0035407F">
        <w:rPr>
          <w:rFonts w:asciiTheme="majorHAnsi" w:hAnsiTheme="majorHAnsi"/>
          <w:sz w:val="20"/>
          <w:szCs w:val="20"/>
          <w:lang w:val="es-ES"/>
        </w:rPr>
        <w:t>onstitución de 1979 que no contemplaba dicho proceso y garantizaba su estadía en el puesto hasta los 70 años</w:t>
      </w:r>
      <w:r>
        <w:rPr>
          <w:rStyle w:val="FootnoteReference"/>
          <w:rFonts w:asciiTheme="majorHAnsi" w:hAnsiTheme="majorHAnsi"/>
          <w:sz w:val="20"/>
          <w:szCs w:val="20"/>
          <w:lang w:val="es-ES"/>
        </w:rPr>
        <w:footnoteReference w:id="28"/>
      </w:r>
      <w:r w:rsidRPr="0035407F">
        <w:rPr>
          <w:rFonts w:asciiTheme="majorHAnsi" w:hAnsiTheme="majorHAnsi"/>
          <w:sz w:val="20"/>
          <w:szCs w:val="20"/>
          <w:lang w:val="es-ES"/>
        </w:rPr>
        <w:t>.</w:t>
      </w:r>
    </w:p>
    <w:p w14:paraId="7223B77D" w14:textId="77777777" w:rsidR="0065706A" w:rsidRPr="00CD11B9" w:rsidRDefault="0065706A" w:rsidP="0065706A">
      <w:pPr>
        <w:pStyle w:val="ListParagraph"/>
        <w:rPr>
          <w:rFonts w:asciiTheme="majorHAnsi" w:hAnsiTheme="majorHAnsi"/>
          <w:sz w:val="20"/>
          <w:szCs w:val="20"/>
          <w:lang w:val="es-ES"/>
        </w:rPr>
      </w:pPr>
    </w:p>
    <w:p w14:paraId="5F432A53" w14:textId="77777777" w:rsidR="0065706A" w:rsidRDefault="00022AA7" w:rsidP="0065706A">
      <w:pPr>
        <w:pStyle w:val="ListParagraph"/>
        <w:numPr>
          <w:ilvl w:val="0"/>
          <w:numId w:val="55"/>
        </w:numPr>
        <w:ind w:left="0" w:firstLine="630"/>
        <w:jc w:val="both"/>
        <w:rPr>
          <w:rFonts w:asciiTheme="majorHAnsi" w:hAnsiTheme="majorHAnsi"/>
          <w:sz w:val="20"/>
          <w:szCs w:val="20"/>
          <w:lang w:val="es-ES"/>
        </w:rPr>
      </w:pPr>
      <w:r>
        <w:rPr>
          <w:rFonts w:asciiTheme="majorHAnsi" w:hAnsiTheme="majorHAnsi"/>
          <w:sz w:val="20"/>
          <w:szCs w:val="20"/>
          <w:lang w:val="es-ES"/>
        </w:rPr>
        <w:t>E</w:t>
      </w:r>
      <w:r w:rsidR="0065706A">
        <w:rPr>
          <w:rFonts w:asciiTheme="majorHAnsi" w:hAnsiTheme="majorHAnsi"/>
          <w:sz w:val="20"/>
          <w:szCs w:val="20"/>
          <w:lang w:val="es-ES"/>
        </w:rPr>
        <w:t xml:space="preserve">l procedimiento de evaluación y </w:t>
      </w:r>
      <w:r w:rsidR="0065706A" w:rsidRPr="000868EB">
        <w:rPr>
          <w:rFonts w:asciiTheme="majorHAnsi" w:hAnsiTheme="majorHAnsi"/>
          <w:sz w:val="20"/>
          <w:szCs w:val="20"/>
          <w:lang w:val="es-ES"/>
        </w:rPr>
        <w:t>ratificación continuó en ausencia del peticionario quien no se presentó</w:t>
      </w:r>
      <w:r w:rsidR="004340E2" w:rsidRPr="000868EB">
        <w:rPr>
          <w:rFonts w:asciiTheme="majorHAnsi" w:hAnsiTheme="majorHAnsi"/>
          <w:sz w:val="20"/>
          <w:szCs w:val="20"/>
          <w:lang w:val="es-ES"/>
        </w:rPr>
        <w:t xml:space="preserve"> al proceso</w:t>
      </w:r>
      <w:r w:rsidR="0065706A" w:rsidRPr="000868EB">
        <w:rPr>
          <w:rFonts w:asciiTheme="majorHAnsi" w:hAnsiTheme="majorHAnsi"/>
          <w:sz w:val="20"/>
          <w:szCs w:val="20"/>
          <w:lang w:val="es-ES"/>
        </w:rPr>
        <w:t>.</w:t>
      </w:r>
      <w:r w:rsidR="007025C1">
        <w:rPr>
          <w:rFonts w:asciiTheme="majorHAnsi" w:hAnsiTheme="majorHAnsi"/>
          <w:sz w:val="20"/>
          <w:szCs w:val="20"/>
          <w:lang w:val="es-ES"/>
        </w:rPr>
        <w:t xml:space="preserve"> </w:t>
      </w:r>
      <w:r w:rsidR="00D67568">
        <w:rPr>
          <w:rFonts w:asciiTheme="majorHAnsi" w:hAnsiTheme="majorHAnsi"/>
          <w:sz w:val="20"/>
          <w:szCs w:val="20"/>
          <w:lang w:val="es-ES"/>
        </w:rPr>
        <w:t>El</w:t>
      </w:r>
      <w:r w:rsidR="0065706A" w:rsidRPr="000868EB">
        <w:rPr>
          <w:rFonts w:asciiTheme="majorHAnsi" w:hAnsiTheme="majorHAnsi"/>
          <w:sz w:val="20"/>
          <w:szCs w:val="20"/>
          <w:lang w:val="es-ES"/>
        </w:rPr>
        <w:t xml:space="preserve"> CNM emitió la resolución determin</w:t>
      </w:r>
      <w:r w:rsidR="000D7225">
        <w:rPr>
          <w:rFonts w:asciiTheme="majorHAnsi" w:hAnsiTheme="majorHAnsi"/>
          <w:sz w:val="20"/>
          <w:szCs w:val="20"/>
          <w:lang w:val="es-ES"/>
        </w:rPr>
        <w:t>ando</w:t>
      </w:r>
      <w:r w:rsidR="0065706A" w:rsidRPr="000868EB">
        <w:rPr>
          <w:rFonts w:asciiTheme="majorHAnsi" w:hAnsiTheme="majorHAnsi"/>
          <w:sz w:val="20"/>
          <w:szCs w:val="20"/>
          <w:lang w:val="es-ES"/>
        </w:rPr>
        <w:t xml:space="preserve"> la no ratificación de la presunta víctima y la cancelación</w:t>
      </w:r>
      <w:r w:rsidR="0065706A">
        <w:rPr>
          <w:rFonts w:asciiTheme="majorHAnsi" w:hAnsiTheme="majorHAnsi"/>
          <w:sz w:val="20"/>
          <w:szCs w:val="20"/>
          <w:lang w:val="es-ES"/>
        </w:rPr>
        <w:t xml:space="preserve"> de su nombramiento como </w:t>
      </w:r>
      <w:r w:rsidR="007D23F6">
        <w:rPr>
          <w:rFonts w:asciiTheme="majorHAnsi" w:hAnsiTheme="majorHAnsi"/>
          <w:sz w:val="20"/>
          <w:szCs w:val="20"/>
          <w:lang w:val="es-ES"/>
        </w:rPr>
        <w:t>Juez Especializado en lo Civil de Lima</w:t>
      </w:r>
      <w:r w:rsidR="0065706A">
        <w:rPr>
          <w:rStyle w:val="FootnoteReference"/>
          <w:rFonts w:asciiTheme="majorHAnsi" w:hAnsiTheme="majorHAnsi"/>
          <w:color w:val="auto"/>
          <w:sz w:val="20"/>
          <w:szCs w:val="20"/>
          <w:lang w:val="es-CO"/>
        </w:rPr>
        <w:footnoteReference w:id="29"/>
      </w:r>
      <w:r w:rsidR="0065706A">
        <w:rPr>
          <w:rFonts w:asciiTheme="majorHAnsi" w:hAnsiTheme="majorHAnsi"/>
          <w:sz w:val="20"/>
          <w:szCs w:val="20"/>
          <w:lang w:val="es-ES"/>
        </w:rPr>
        <w:t xml:space="preserve">. </w:t>
      </w:r>
      <w:r w:rsidR="000868EB">
        <w:rPr>
          <w:rFonts w:asciiTheme="majorHAnsi" w:hAnsiTheme="majorHAnsi"/>
          <w:sz w:val="20"/>
          <w:szCs w:val="20"/>
          <w:lang w:val="es-ES"/>
        </w:rPr>
        <w:t>La presunta víctima indicó que la resolución no se encuentra motivada</w:t>
      </w:r>
      <w:r w:rsidR="00FB3B6F">
        <w:rPr>
          <w:rFonts w:asciiTheme="majorHAnsi" w:hAnsiTheme="majorHAnsi"/>
          <w:sz w:val="20"/>
          <w:szCs w:val="20"/>
          <w:lang w:val="es-ES"/>
        </w:rPr>
        <w:t xml:space="preserve">, lo cual no fue controvertido por el Estado. </w:t>
      </w:r>
    </w:p>
    <w:p w14:paraId="2EBB8BFE" w14:textId="77777777" w:rsidR="0065706A" w:rsidRPr="002E6AD9" w:rsidRDefault="0065706A" w:rsidP="0065706A">
      <w:pPr>
        <w:pStyle w:val="ListParagraph"/>
        <w:rPr>
          <w:rFonts w:asciiTheme="majorHAnsi" w:hAnsiTheme="majorHAnsi"/>
          <w:sz w:val="20"/>
          <w:szCs w:val="20"/>
          <w:lang w:val="es-ES"/>
        </w:rPr>
      </w:pPr>
    </w:p>
    <w:p w14:paraId="6BF660F1" w14:textId="77777777" w:rsidR="0065706A" w:rsidRPr="00B966F6" w:rsidRDefault="0065706A" w:rsidP="00B966F6">
      <w:pPr>
        <w:pStyle w:val="ListParagraph"/>
        <w:numPr>
          <w:ilvl w:val="0"/>
          <w:numId w:val="55"/>
        </w:numPr>
        <w:ind w:left="0" w:firstLine="630"/>
        <w:jc w:val="both"/>
        <w:rPr>
          <w:rFonts w:asciiTheme="majorHAnsi" w:hAnsiTheme="majorHAnsi"/>
          <w:sz w:val="20"/>
          <w:szCs w:val="20"/>
          <w:lang w:val="es-ES"/>
        </w:rPr>
      </w:pPr>
      <w:r w:rsidRPr="00346B29">
        <w:rPr>
          <w:rFonts w:asciiTheme="majorHAnsi" w:hAnsiTheme="majorHAnsi"/>
          <w:sz w:val="20"/>
          <w:szCs w:val="20"/>
          <w:lang w:val="es-ES"/>
        </w:rPr>
        <w:t xml:space="preserve">El 12 de septiembre de 2002 </w:t>
      </w:r>
      <w:r w:rsidRPr="00346B29">
        <w:rPr>
          <w:rFonts w:asciiTheme="majorHAnsi" w:hAnsiTheme="majorHAnsi"/>
          <w:color w:val="auto"/>
          <w:sz w:val="20"/>
          <w:szCs w:val="20"/>
          <w:lang w:val="es-CO"/>
        </w:rPr>
        <w:t>el Quincuagésimo Juzgado Civil de Lima declaró infundada la demanda de amparo considerando</w:t>
      </w:r>
      <w:r w:rsidR="007A560B">
        <w:rPr>
          <w:rFonts w:asciiTheme="majorHAnsi" w:hAnsiTheme="majorHAnsi"/>
          <w:color w:val="auto"/>
          <w:sz w:val="20"/>
          <w:szCs w:val="20"/>
          <w:lang w:val="es-CO"/>
        </w:rPr>
        <w:t xml:space="preserve"> que</w:t>
      </w:r>
      <w:r w:rsidR="001958EE">
        <w:rPr>
          <w:rFonts w:asciiTheme="majorHAnsi" w:hAnsiTheme="majorHAnsi"/>
          <w:color w:val="auto"/>
          <w:sz w:val="20"/>
          <w:szCs w:val="20"/>
          <w:lang w:val="es-CO"/>
        </w:rPr>
        <w:t xml:space="preserve"> las normas de la C</w:t>
      </w:r>
      <w:r w:rsidRPr="00346B29">
        <w:rPr>
          <w:rFonts w:asciiTheme="majorHAnsi" w:hAnsiTheme="majorHAnsi"/>
          <w:color w:val="auto"/>
          <w:sz w:val="20"/>
          <w:szCs w:val="20"/>
          <w:lang w:val="es-CO"/>
        </w:rPr>
        <w:t>onstitución de 1993 en materia de evaluación y ratificación tienen aplicación inmediata para quienes poseían condición de magistrados al momento de su entrada en vigencia</w:t>
      </w:r>
      <w:r w:rsidRPr="00346B29">
        <w:rPr>
          <w:rStyle w:val="FootnoteReference"/>
          <w:rFonts w:asciiTheme="majorHAnsi" w:hAnsiTheme="majorHAnsi"/>
          <w:color w:val="auto"/>
          <w:sz w:val="20"/>
          <w:szCs w:val="20"/>
          <w:lang w:val="es-CO"/>
        </w:rPr>
        <w:footnoteReference w:id="30"/>
      </w:r>
      <w:r w:rsidRPr="00346B29">
        <w:rPr>
          <w:rFonts w:asciiTheme="majorHAnsi" w:hAnsiTheme="majorHAnsi"/>
          <w:color w:val="auto"/>
          <w:sz w:val="20"/>
          <w:szCs w:val="20"/>
          <w:lang w:val="es-CO"/>
        </w:rPr>
        <w:t>.</w:t>
      </w:r>
      <w:r w:rsidR="009F7101">
        <w:rPr>
          <w:rFonts w:asciiTheme="majorHAnsi" w:hAnsiTheme="majorHAnsi"/>
          <w:color w:val="auto"/>
          <w:sz w:val="20"/>
          <w:szCs w:val="20"/>
          <w:lang w:val="es-CO"/>
        </w:rPr>
        <w:t xml:space="preserve"> </w:t>
      </w:r>
      <w:r w:rsidRPr="009F7101">
        <w:rPr>
          <w:rFonts w:asciiTheme="majorHAnsi" w:hAnsiTheme="majorHAnsi"/>
          <w:sz w:val="20"/>
          <w:szCs w:val="20"/>
          <w:lang w:val="es-ES"/>
        </w:rPr>
        <w:t>El 24 de septiembre de 2002 la presunta víctima interpuso recurso de apelación</w:t>
      </w:r>
      <w:r w:rsidR="00346B29" w:rsidRPr="006906A7">
        <w:rPr>
          <w:rStyle w:val="FootnoteReference"/>
          <w:rFonts w:asciiTheme="majorHAnsi" w:hAnsiTheme="majorHAnsi"/>
          <w:color w:val="auto"/>
          <w:sz w:val="20"/>
          <w:szCs w:val="20"/>
          <w:lang w:val="es-CO"/>
        </w:rPr>
        <w:footnoteReference w:id="31"/>
      </w:r>
      <w:r w:rsidRPr="009F7101">
        <w:rPr>
          <w:rFonts w:asciiTheme="majorHAnsi" w:hAnsiTheme="majorHAnsi"/>
          <w:sz w:val="20"/>
          <w:szCs w:val="20"/>
          <w:lang w:val="es-CO"/>
        </w:rPr>
        <w:t>.</w:t>
      </w:r>
      <w:r w:rsidR="00CC3997">
        <w:rPr>
          <w:rFonts w:asciiTheme="majorHAnsi" w:hAnsiTheme="majorHAnsi"/>
          <w:sz w:val="20"/>
          <w:szCs w:val="20"/>
          <w:lang w:val="es-CO"/>
        </w:rPr>
        <w:t xml:space="preserve"> </w:t>
      </w:r>
      <w:r w:rsidRPr="00CC3997">
        <w:rPr>
          <w:rFonts w:asciiTheme="majorHAnsi" w:hAnsiTheme="majorHAnsi"/>
          <w:sz w:val="20"/>
          <w:szCs w:val="20"/>
          <w:lang w:val="es-CO"/>
        </w:rPr>
        <w:t xml:space="preserve">El 23 de mayo de 2003 la Quinta Sala Civil declaró sin lugar el recurso indicando la procedencia del principio de aplicación inmediata para el caso de la presunta víctima, </w:t>
      </w:r>
      <w:r w:rsidR="00B33F72" w:rsidRPr="00CC3997">
        <w:rPr>
          <w:rFonts w:asciiTheme="majorHAnsi" w:hAnsiTheme="majorHAnsi"/>
          <w:sz w:val="20"/>
          <w:szCs w:val="20"/>
          <w:lang w:val="es-CO"/>
        </w:rPr>
        <w:t>considerando que</w:t>
      </w:r>
      <w:r w:rsidR="005C3530" w:rsidRPr="00CC3997">
        <w:rPr>
          <w:rFonts w:asciiTheme="majorHAnsi" w:hAnsiTheme="majorHAnsi"/>
          <w:sz w:val="20"/>
          <w:szCs w:val="20"/>
          <w:lang w:val="es-CO"/>
        </w:rPr>
        <w:t xml:space="preserve"> el mismo aplica</w:t>
      </w:r>
      <w:r w:rsidR="003B3688" w:rsidRPr="00CC3997">
        <w:rPr>
          <w:rFonts w:asciiTheme="majorHAnsi" w:hAnsiTheme="majorHAnsi"/>
          <w:sz w:val="20"/>
          <w:szCs w:val="20"/>
          <w:lang w:val="es-CO"/>
        </w:rPr>
        <w:t xml:space="preserve"> </w:t>
      </w:r>
      <w:r w:rsidR="005C3530" w:rsidRPr="00CC3997">
        <w:rPr>
          <w:rFonts w:asciiTheme="majorHAnsi" w:hAnsiTheme="majorHAnsi"/>
          <w:sz w:val="20"/>
          <w:szCs w:val="20"/>
          <w:lang w:val="es-CO"/>
        </w:rPr>
        <w:t>“</w:t>
      </w:r>
      <w:r w:rsidR="003B3688" w:rsidRPr="00CC3997">
        <w:rPr>
          <w:rFonts w:asciiTheme="majorHAnsi" w:hAnsiTheme="majorHAnsi"/>
          <w:sz w:val="20"/>
          <w:szCs w:val="20"/>
          <w:lang w:val="es-CO"/>
        </w:rPr>
        <w:t>a las consecuencias</w:t>
      </w:r>
      <w:r w:rsidR="005C3530" w:rsidRPr="00CC3997">
        <w:rPr>
          <w:rFonts w:asciiTheme="majorHAnsi" w:hAnsiTheme="majorHAnsi"/>
          <w:sz w:val="20"/>
          <w:szCs w:val="20"/>
          <w:lang w:val="es-CO"/>
        </w:rPr>
        <w:t xml:space="preserve"> de las relaciones y </w:t>
      </w:r>
      <w:r w:rsidR="003B3688" w:rsidRPr="00CC3997">
        <w:rPr>
          <w:rFonts w:asciiTheme="majorHAnsi" w:hAnsiTheme="majorHAnsi"/>
          <w:sz w:val="20"/>
          <w:szCs w:val="20"/>
          <w:lang w:val="es-CO"/>
        </w:rPr>
        <w:t>situaciones jurídicas existentes</w:t>
      </w:r>
      <w:r w:rsidR="005C3530" w:rsidRPr="00CC3997">
        <w:rPr>
          <w:rFonts w:asciiTheme="majorHAnsi" w:hAnsiTheme="majorHAnsi"/>
          <w:sz w:val="20"/>
          <w:szCs w:val="20"/>
          <w:lang w:val="es-CO"/>
        </w:rPr>
        <w:t>”</w:t>
      </w:r>
      <w:r w:rsidRPr="0065391F">
        <w:rPr>
          <w:rStyle w:val="FootnoteReference"/>
          <w:rFonts w:asciiTheme="majorHAnsi" w:hAnsiTheme="majorHAnsi"/>
          <w:color w:val="auto"/>
          <w:sz w:val="20"/>
          <w:szCs w:val="20"/>
          <w:lang w:val="es-CO"/>
        </w:rPr>
        <w:footnoteReference w:id="32"/>
      </w:r>
      <w:r w:rsidRPr="00CC3997">
        <w:rPr>
          <w:rFonts w:asciiTheme="majorHAnsi" w:hAnsiTheme="majorHAnsi"/>
          <w:sz w:val="20"/>
          <w:szCs w:val="20"/>
          <w:lang w:val="es-CO"/>
        </w:rPr>
        <w:t>.</w:t>
      </w:r>
      <w:r w:rsidR="00B966F6">
        <w:rPr>
          <w:rFonts w:asciiTheme="majorHAnsi" w:hAnsiTheme="majorHAnsi"/>
          <w:sz w:val="20"/>
          <w:szCs w:val="20"/>
          <w:lang w:val="es-CO"/>
        </w:rPr>
        <w:t xml:space="preserve"> </w:t>
      </w:r>
      <w:r w:rsidRPr="00B966F6">
        <w:rPr>
          <w:rFonts w:asciiTheme="majorHAnsi" w:hAnsiTheme="majorHAnsi"/>
          <w:sz w:val="20"/>
          <w:szCs w:val="20"/>
          <w:lang w:val="es-CO"/>
        </w:rPr>
        <w:t xml:space="preserve">El 16 de julio de 2003 la presunta víctima presentó un recurso extraordinario </w:t>
      </w:r>
      <w:r w:rsidR="00203754" w:rsidRPr="00B966F6">
        <w:rPr>
          <w:rFonts w:asciiTheme="majorHAnsi" w:hAnsiTheme="majorHAnsi"/>
          <w:sz w:val="20"/>
          <w:szCs w:val="20"/>
          <w:lang w:val="es-CO"/>
        </w:rPr>
        <w:t xml:space="preserve">ante la Sala Segunda del </w:t>
      </w:r>
      <w:r w:rsidRPr="00B966F6">
        <w:rPr>
          <w:rFonts w:asciiTheme="majorHAnsi" w:hAnsiTheme="majorHAnsi"/>
          <w:sz w:val="20"/>
          <w:szCs w:val="20"/>
          <w:lang w:val="es-CO"/>
        </w:rPr>
        <w:t xml:space="preserve">Tribunal </w:t>
      </w:r>
      <w:r w:rsidR="005C3530" w:rsidRPr="00B966F6">
        <w:rPr>
          <w:rFonts w:asciiTheme="majorHAnsi" w:hAnsiTheme="majorHAnsi"/>
          <w:sz w:val="20"/>
          <w:szCs w:val="20"/>
          <w:lang w:val="es-CO"/>
        </w:rPr>
        <w:t>Constitucional</w:t>
      </w:r>
      <w:r w:rsidR="0042599F">
        <w:rPr>
          <w:rFonts w:asciiTheme="majorHAnsi" w:hAnsiTheme="majorHAnsi"/>
          <w:sz w:val="20"/>
          <w:szCs w:val="20"/>
          <w:lang w:val="es-CO"/>
        </w:rPr>
        <w:t xml:space="preserve"> planteando los mismos alegatos sobre la indebida aplicación retroactiva de la </w:t>
      </w:r>
      <w:r w:rsidR="005C3530" w:rsidRPr="00B966F6">
        <w:rPr>
          <w:rFonts w:asciiTheme="majorHAnsi" w:hAnsiTheme="majorHAnsi"/>
          <w:sz w:val="20"/>
          <w:szCs w:val="20"/>
          <w:lang w:val="es-CO"/>
        </w:rPr>
        <w:t>Constitución de 1993</w:t>
      </w:r>
      <w:r w:rsidR="00B33F72" w:rsidRPr="0065391F">
        <w:rPr>
          <w:rStyle w:val="FootnoteReference"/>
          <w:rFonts w:asciiTheme="majorHAnsi" w:hAnsiTheme="majorHAnsi"/>
          <w:color w:val="auto"/>
          <w:sz w:val="20"/>
          <w:szCs w:val="20"/>
          <w:lang w:val="es-CO"/>
        </w:rPr>
        <w:footnoteReference w:id="33"/>
      </w:r>
      <w:r w:rsidR="005C3530" w:rsidRPr="00B966F6">
        <w:rPr>
          <w:rFonts w:asciiTheme="majorHAnsi" w:hAnsiTheme="majorHAnsi"/>
          <w:sz w:val="20"/>
          <w:szCs w:val="20"/>
          <w:lang w:val="es-CO"/>
        </w:rPr>
        <w:t xml:space="preserve">. </w:t>
      </w:r>
    </w:p>
    <w:p w14:paraId="65F1FD4D" w14:textId="77777777" w:rsidR="0065706A" w:rsidRPr="00012FA4" w:rsidRDefault="0065706A" w:rsidP="0065706A">
      <w:pPr>
        <w:pStyle w:val="ListParagraph"/>
        <w:rPr>
          <w:rFonts w:asciiTheme="majorHAnsi" w:hAnsiTheme="majorHAnsi"/>
          <w:color w:val="auto"/>
          <w:sz w:val="20"/>
          <w:szCs w:val="20"/>
          <w:lang w:val="es-CO"/>
        </w:rPr>
      </w:pPr>
    </w:p>
    <w:p w14:paraId="0F8F67A4" w14:textId="77777777" w:rsidR="0065706A" w:rsidRPr="00937A8F" w:rsidRDefault="00203754" w:rsidP="00937A8F">
      <w:pPr>
        <w:pStyle w:val="ListParagraph"/>
        <w:numPr>
          <w:ilvl w:val="0"/>
          <w:numId w:val="55"/>
        </w:numPr>
        <w:ind w:left="0" w:firstLine="630"/>
        <w:jc w:val="both"/>
        <w:rPr>
          <w:rFonts w:asciiTheme="majorHAnsi" w:hAnsiTheme="majorHAnsi"/>
          <w:color w:val="auto"/>
          <w:sz w:val="20"/>
          <w:szCs w:val="20"/>
          <w:lang w:val="es-CO"/>
        </w:rPr>
      </w:pPr>
      <w:r w:rsidRPr="0065391F">
        <w:rPr>
          <w:rFonts w:asciiTheme="majorHAnsi" w:hAnsiTheme="majorHAnsi"/>
          <w:color w:val="auto"/>
          <w:sz w:val="20"/>
          <w:szCs w:val="20"/>
          <w:lang w:val="es-CO"/>
        </w:rPr>
        <w:t xml:space="preserve">El 9 de enero de 2004 la Sala Segunda del </w:t>
      </w:r>
      <w:r w:rsidR="0065706A" w:rsidRPr="0065391F">
        <w:rPr>
          <w:rFonts w:asciiTheme="majorHAnsi" w:hAnsiTheme="majorHAnsi"/>
          <w:color w:val="auto"/>
          <w:sz w:val="20"/>
          <w:szCs w:val="20"/>
          <w:lang w:val="es-CO"/>
        </w:rPr>
        <w:t xml:space="preserve">Tribunal Constitucional declaró </w:t>
      </w:r>
      <w:r w:rsidR="00FD6473" w:rsidRPr="0065391F">
        <w:rPr>
          <w:rFonts w:asciiTheme="majorHAnsi" w:hAnsiTheme="majorHAnsi"/>
          <w:color w:val="auto"/>
          <w:sz w:val="20"/>
          <w:szCs w:val="20"/>
          <w:lang w:val="es-CO"/>
        </w:rPr>
        <w:t>infundad</w:t>
      </w:r>
      <w:r w:rsidR="00F2732F">
        <w:rPr>
          <w:rFonts w:asciiTheme="majorHAnsi" w:hAnsiTheme="majorHAnsi"/>
          <w:color w:val="auto"/>
          <w:sz w:val="20"/>
          <w:szCs w:val="20"/>
          <w:lang w:val="es-CO"/>
        </w:rPr>
        <w:t xml:space="preserve">o el </w:t>
      </w:r>
      <w:r w:rsidR="00FD6473" w:rsidRPr="0065391F">
        <w:rPr>
          <w:rFonts w:asciiTheme="majorHAnsi" w:hAnsiTheme="majorHAnsi"/>
          <w:color w:val="auto"/>
          <w:sz w:val="20"/>
          <w:szCs w:val="20"/>
          <w:lang w:val="es-CO"/>
        </w:rPr>
        <w:t>amparo</w:t>
      </w:r>
      <w:r w:rsidR="0065706A" w:rsidRPr="0065391F">
        <w:rPr>
          <w:rFonts w:asciiTheme="majorHAnsi" w:hAnsiTheme="majorHAnsi"/>
          <w:color w:val="auto"/>
          <w:sz w:val="20"/>
          <w:szCs w:val="20"/>
          <w:lang w:val="es-CO"/>
        </w:rPr>
        <w:t>, argumentando que desde el día en que entró en vig</w:t>
      </w:r>
      <w:r w:rsidR="000415D6">
        <w:rPr>
          <w:rFonts w:asciiTheme="majorHAnsi" w:hAnsiTheme="majorHAnsi"/>
          <w:color w:val="auto"/>
          <w:sz w:val="20"/>
          <w:szCs w:val="20"/>
          <w:lang w:val="es-CO"/>
        </w:rPr>
        <w:t xml:space="preserve">encia la Constitución de 1993, </w:t>
      </w:r>
      <w:r w:rsidR="0065706A" w:rsidRPr="0065391F">
        <w:rPr>
          <w:rFonts w:asciiTheme="majorHAnsi" w:hAnsiTheme="majorHAnsi"/>
          <w:color w:val="auto"/>
          <w:sz w:val="20"/>
          <w:szCs w:val="20"/>
          <w:lang w:val="es-CO"/>
        </w:rPr>
        <w:t>esto es, el 1 de enero de 1994 la misma reguló la situación jurídica de todos los poderes públicos y sus funciones, incluyendo al Poder Judicial por lo que</w:t>
      </w:r>
      <w:r w:rsidR="00AC276E" w:rsidRPr="0065391F">
        <w:rPr>
          <w:rFonts w:asciiTheme="majorHAnsi" w:hAnsiTheme="majorHAnsi"/>
          <w:color w:val="auto"/>
          <w:sz w:val="20"/>
          <w:szCs w:val="20"/>
          <w:lang w:val="es-CO"/>
        </w:rPr>
        <w:t xml:space="preserve"> </w:t>
      </w:r>
      <w:r w:rsidR="00FD6473" w:rsidRPr="0065391F">
        <w:rPr>
          <w:rFonts w:asciiTheme="majorHAnsi" w:hAnsiTheme="majorHAnsi"/>
          <w:color w:val="auto"/>
          <w:sz w:val="20"/>
          <w:szCs w:val="20"/>
          <w:lang w:val="es-CO"/>
        </w:rPr>
        <w:t>el</w:t>
      </w:r>
      <w:r w:rsidR="00AC276E" w:rsidRPr="0065391F">
        <w:rPr>
          <w:rFonts w:asciiTheme="majorHAnsi" w:hAnsiTheme="majorHAnsi"/>
          <w:color w:val="auto"/>
          <w:sz w:val="20"/>
          <w:szCs w:val="20"/>
          <w:lang w:val="es-CO"/>
        </w:rPr>
        <w:t xml:space="preserve"> derecho de permanencia en el servicio</w:t>
      </w:r>
      <w:r w:rsidR="00FD6473" w:rsidRPr="0065391F">
        <w:rPr>
          <w:rFonts w:asciiTheme="majorHAnsi" w:hAnsiTheme="majorHAnsi"/>
          <w:color w:val="auto"/>
          <w:sz w:val="20"/>
          <w:szCs w:val="20"/>
          <w:lang w:val="es-CO"/>
        </w:rPr>
        <w:t xml:space="preserve"> del peticionario</w:t>
      </w:r>
      <w:r w:rsidR="00AC276E" w:rsidRPr="0065391F">
        <w:rPr>
          <w:rFonts w:asciiTheme="majorHAnsi" w:hAnsiTheme="majorHAnsi"/>
          <w:color w:val="auto"/>
          <w:sz w:val="20"/>
          <w:szCs w:val="20"/>
          <w:lang w:val="es-CO"/>
        </w:rPr>
        <w:t xml:space="preserve"> estaba sujeto a los límites contenidos en la Constitución de 1993, incluyendo el de carácter temporal</w:t>
      </w:r>
      <w:r w:rsidR="0065706A" w:rsidRPr="0065391F">
        <w:rPr>
          <w:rStyle w:val="FootnoteReference"/>
          <w:rFonts w:asciiTheme="majorHAnsi" w:hAnsiTheme="majorHAnsi"/>
          <w:color w:val="auto"/>
          <w:sz w:val="20"/>
          <w:szCs w:val="20"/>
          <w:lang w:val="es-CO"/>
        </w:rPr>
        <w:footnoteReference w:id="34"/>
      </w:r>
      <w:r w:rsidR="0065706A" w:rsidRPr="0065391F">
        <w:rPr>
          <w:rFonts w:asciiTheme="majorHAnsi" w:hAnsiTheme="majorHAnsi"/>
          <w:color w:val="auto"/>
          <w:sz w:val="20"/>
          <w:szCs w:val="20"/>
          <w:lang w:val="es-CO"/>
        </w:rPr>
        <w:t>.</w:t>
      </w:r>
      <w:r w:rsidR="00937A8F">
        <w:rPr>
          <w:rFonts w:asciiTheme="majorHAnsi" w:hAnsiTheme="majorHAnsi"/>
          <w:color w:val="auto"/>
          <w:sz w:val="20"/>
          <w:szCs w:val="20"/>
          <w:lang w:val="es-CO"/>
        </w:rPr>
        <w:t xml:space="preserve"> </w:t>
      </w:r>
      <w:r w:rsidR="00937A8F">
        <w:rPr>
          <w:rFonts w:asciiTheme="majorHAnsi" w:hAnsiTheme="majorHAnsi"/>
          <w:sz w:val="20"/>
          <w:szCs w:val="20"/>
          <w:lang w:val="es-CO"/>
        </w:rPr>
        <w:t>S</w:t>
      </w:r>
      <w:r w:rsidR="0065706A" w:rsidRPr="00937A8F">
        <w:rPr>
          <w:rFonts w:asciiTheme="majorHAnsi" w:hAnsiTheme="majorHAnsi"/>
          <w:sz w:val="20"/>
          <w:szCs w:val="20"/>
          <w:lang w:val="es-CO"/>
        </w:rPr>
        <w:t>eñaló que el “derecho de permanecer en el servicio no es cronológicamente infinito o hasta que se cumpla una determinada edad, sino que está prefijado en el tiempo; esto es, por 7 años, culminados los cuales la permanencia en el servicio se encuentra sujeta a la condición de que el evaluado sea ratificado”</w:t>
      </w:r>
      <w:r w:rsidR="0065706A">
        <w:rPr>
          <w:rStyle w:val="FootnoteReference"/>
          <w:rFonts w:asciiTheme="majorHAnsi" w:hAnsiTheme="majorHAnsi"/>
          <w:color w:val="auto"/>
          <w:sz w:val="20"/>
          <w:szCs w:val="20"/>
          <w:lang w:val="es-CO"/>
        </w:rPr>
        <w:footnoteReference w:id="35"/>
      </w:r>
      <w:r w:rsidR="0065706A" w:rsidRPr="00937A8F">
        <w:rPr>
          <w:rFonts w:asciiTheme="majorHAnsi" w:hAnsiTheme="majorHAnsi"/>
          <w:sz w:val="20"/>
          <w:szCs w:val="20"/>
          <w:lang w:val="es-CO"/>
        </w:rPr>
        <w:t xml:space="preserve">. </w:t>
      </w:r>
    </w:p>
    <w:p w14:paraId="0B87AAF0" w14:textId="77777777" w:rsidR="0065706A" w:rsidRPr="001B3496" w:rsidRDefault="0065706A" w:rsidP="0065706A">
      <w:pPr>
        <w:pStyle w:val="ListParagraph"/>
        <w:rPr>
          <w:rFonts w:asciiTheme="majorHAnsi" w:hAnsiTheme="majorHAnsi"/>
          <w:color w:val="auto"/>
          <w:sz w:val="20"/>
          <w:szCs w:val="20"/>
          <w:lang w:val="es-CO"/>
        </w:rPr>
      </w:pPr>
    </w:p>
    <w:p w14:paraId="6EB5810B" w14:textId="77777777" w:rsidR="0065706A" w:rsidRPr="003D217A" w:rsidRDefault="0065706A" w:rsidP="0065706A">
      <w:pPr>
        <w:pStyle w:val="ListParagraph"/>
        <w:numPr>
          <w:ilvl w:val="0"/>
          <w:numId w:val="55"/>
        </w:numPr>
        <w:ind w:left="0" w:firstLine="630"/>
        <w:jc w:val="both"/>
        <w:rPr>
          <w:rFonts w:asciiTheme="majorHAnsi" w:hAnsiTheme="majorHAnsi"/>
          <w:color w:val="auto"/>
          <w:sz w:val="20"/>
          <w:szCs w:val="20"/>
          <w:lang w:val="es-CO"/>
        </w:rPr>
      </w:pPr>
      <w:r>
        <w:rPr>
          <w:rFonts w:asciiTheme="majorHAnsi" w:hAnsiTheme="majorHAnsi"/>
          <w:color w:val="auto"/>
          <w:sz w:val="20"/>
          <w:szCs w:val="20"/>
          <w:lang w:val="es-CO"/>
        </w:rPr>
        <w:t xml:space="preserve">El 30 de marzo de 2004 la presunta víctima </w:t>
      </w:r>
      <w:r w:rsidRPr="0065391F">
        <w:rPr>
          <w:rFonts w:asciiTheme="majorHAnsi" w:hAnsiTheme="majorHAnsi"/>
          <w:color w:val="auto"/>
          <w:sz w:val="20"/>
          <w:szCs w:val="20"/>
          <w:lang w:val="es-CO"/>
        </w:rPr>
        <w:t>presentó un recurso de nulid</w:t>
      </w:r>
      <w:r w:rsidR="00203754" w:rsidRPr="0065391F">
        <w:rPr>
          <w:rFonts w:asciiTheme="majorHAnsi" w:hAnsiTheme="majorHAnsi"/>
          <w:color w:val="auto"/>
          <w:sz w:val="20"/>
          <w:szCs w:val="20"/>
          <w:lang w:val="es-CO"/>
        </w:rPr>
        <w:t xml:space="preserve">ad </w:t>
      </w:r>
      <w:r w:rsidRPr="0065391F">
        <w:rPr>
          <w:rFonts w:asciiTheme="majorHAnsi" w:hAnsiTheme="majorHAnsi"/>
          <w:color w:val="auto"/>
          <w:sz w:val="20"/>
          <w:szCs w:val="20"/>
          <w:lang w:val="es-CO"/>
        </w:rPr>
        <w:t xml:space="preserve">ante el </w:t>
      </w:r>
      <w:r w:rsidR="00203754" w:rsidRPr="0065391F">
        <w:rPr>
          <w:rFonts w:asciiTheme="majorHAnsi" w:hAnsiTheme="majorHAnsi"/>
          <w:color w:val="auto"/>
          <w:sz w:val="20"/>
          <w:szCs w:val="20"/>
          <w:lang w:val="es-CO"/>
        </w:rPr>
        <w:t>Presidente de dicho</w:t>
      </w:r>
      <w:r w:rsidRPr="0065391F">
        <w:rPr>
          <w:rFonts w:asciiTheme="majorHAnsi" w:hAnsiTheme="majorHAnsi"/>
          <w:color w:val="auto"/>
          <w:sz w:val="20"/>
          <w:szCs w:val="20"/>
          <w:lang w:val="es-CO"/>
        </w:rPr>
        <w:t xml:space="preserve"> Tribunal</w:t>
      </w:r>
      <w:r w:rsidRPr="0065391F">
        <w:rPr>
          <w:rStyle w:val="FootnoteReference"/>
          <w:rFonts w:asciiTheme="majorHAnsi" w:hAnsiTheme="majorHAnsi"/>
          <w:color w:val="auto"/>
          <w:sz w:val="20"/>
          <w:szCs w:val="20"/>
          <w:lang w:val="es-CO"/>
        </w:rPr>
        <w:footnoteReference w:id="36"/>
      </w:r>
      <w:r w:rsidR="005E6C79">
        <w:rPr>
          <w:rFonts w:asciiTheme="majorHAnsi" w:hAnsiTheme="majorHAnsi"/>
          <w:color w:val="auto"/>
          <w:sz w:val="20"/>
          <w:szCs w:val="20"/>
          <w:lang w:val="es-CO"/>
        </w:rPr>
        <w:t xml:space="preserve">. </w:t>
      </w:r>
      <w:r w:rsidRPr="0065391F">
        <w:rPr>
          <w:rFonts w:asciiTheme="majorHAnsi" w:hAnsiTheme="majorHAnsi"/>
          <w:color w:val="auto"/>
          <w:sz w:val="20"/>
          <w:szCs w:val="20"/>
          <w:lang w:val="es-CO"/>
        </w:rPr>
        <w:t>El 14 de mayo de 2014 dicho tribunal denegó la acción de nulidad por considerar</w:t>
      </w:r>
      <w:r w:rsidR="00AC276E" w:rsidRPr="0065391F">
        <w:rPr>
          <w:rFonts w:asciiTheme="majorHAnsi" w:hAnsiTheme="majorHAnsi"/>
          <w:color w:val="auto"/>
          <w:sz w:val="20"/>
          <w:szCs w:val="20"/>
          <w:lang w:val="es-CO"/>
        </w:rPr>
        <w:t xml:space="preserve"> </w:t>
      </w:r>
      <w:r w:rsidR="00667CAA" w:rsidRPr="0065391F">
        <w:rPr>
          <w:rFonts w:asciiTheme="majorHAnsi" w:hAnsiTheme="majorHAnsi"/>
          <w:color w:val="auto"/>
          <w:sz w:val="20"/>
          <w:szCs w:val="20"/>
          <w:lang w:val="es-CO"/>
        </w:rPr>
        <w:t xml:space="preserve">que </w:t>
      </w:r>
      <w:r w:rsidR="0061124F">
        <w:rPr>
          <w:rFonts w:asciiTheme="majorHAnsi" w:hAnsiTheme="majorHAnsi"/>
          <w:color w:val="auto"/>
          <w:sz w:val="20"/>
          <w:szCs w:val="20"/>
          <w:lang w:val="es-CO"/>
        </w:rPr>
        <w:t xml:space="preserve">no existe vicio procesal y que se </w:t>
      </w:r>
      <w:r w:rsidR="002F6FB1">
        <w:rPr>
          <w:rFonts w:asciiTheme="majorHAnsi" w:hAnsiTheme="majorHAnsi"/>
          <w:color w:val="auto"/>
          <w:sz w:val="20"/>
          <w:szCs w:val="20"/>
          <w:lang w:val="es-CO"/>
        </w:rPr>
        <w:t>“</w:t>
      </w:r>
      <w:r w:rsidR="00AC276E" w:rsidRPr="0065391F">
        <w:rPr>
          <w:rFonts w:asciiTheme="majorHAnsi" w:hAnsiTheme="majorHAnsi"/>
          <w:color w:val="auto"/>
          <w:sz w:val="20"/>
          <w:szCs w:val="20"/>
          <w:lang w:val="es-CO"/>
        </w:rPr>
        <w:t>ha seguido la línea jurisprudencial que este Tribunal ha establecido en materia de ratificación de magistrados</w:t>
      </w:r>
      <w:r w:rsidR="006469D5" w:rsidRPr="0065391F">
        <w:rPr>
          <w:rFonts w:asciiTheme="majorHAnsi" w:hAnsiTheme="majorHAnsi"/>
          <w:color w:val="auto"/>
          <w:sz w:val="20"/>
          <w:szCs w:val="20"/>
          <w:lang w:val="es-CO"/>
        </w:rPr>
        <w:t>”</w:t>
      </w:r>
      <w:r w:rsidRPr="0065391F">
        <w:rPr>
          <w:rStyle w:val="FootnoteReference"/>
          <w:rFonts w:asciiTheme="majorHAnsi" w:hAnsiTheme="majorHAnsi"/>
          <w:color w:val="auto"/>
          <w:sz w:val="20"/>
          <w:szCs w:val="20"/>
          <w:lang w:val="es-CO"/>
        </w:rPr>
        <w:footnoteReference w:id="37"/>
      </w:r>
      <w:r w:rsidRPr="0065391F">
        <w:rPr>
          <w:rFonts w:asciiTheme="majorHAnsi" w:hAnsiTheme="majorHAnsi"/>
          <w:color w:val="auto"/>
          <w:sz w:val="20"/>
          <w:szCs w:val="20"/>
          <w:lang w:val="es-CO"/>
        </w:rPr>
        <w:t>.</w:t>
      </w:r>
    </w:p>
    <w:p w14:paraId="44246441" w14:textId="77777777" w:rsidR="00416F6B" w:rsidRPr="00AC6652" w:rsidRDefault="00416F6B" w:rsidP="00AC6652">
      <w:pPr>
        <w:rPr>
          <w:rFonts w:asciiTheme="majorHAnsi" w:hAnsiTheme="majorHAnsi"/>
          <w:b/>
          <w:color w:val="FF0000"/>
          <w:sz w:val="20"/>
          <w:szCs w:val="20"/>
        </w:rPr>
      </w:pPr>
    </w:p>
    <w:p w14:paraId="4326E2C3" w14:textId="77777777" w:rsidR="0065706A" w:rsidRPr="00C92963" w:rsidRDefault="0065706A" w:rsidP="003E17D7">
      <w:pPr>
        <w:pStyle w:val="Heading3"/>
        <w:numPr>
          <w:ilvl w:val="0"/>
          <w:numId w:val="58"/>
        </w:numPr>
        <w:spacing w:before="0" w:after="0"/>
        <w:ind w:hanging="90"/>
        <w:rPr>
          <w:rFonts w:asciiTheme="majorHAnsi" w:hAnsiTheme="majorHAnsi"/>
          <w:sz w:val="20"/>
          <w:szCs w:val="20"/>
          <w:lang w:val="pt-BR"/>
        </w:rPr>
      </w:pPr>
      <w:bookmarkStart w:id="10" w:name="_Toc527450124"/>
      <w:r w:rsidRPr="00C92963">
        <w:rPr>
          <w:rFonts w:asciiTheme="majorHAnsi" w:hAnsiTheme="majorHAnsi"/>
          <w:sz w:val="20"/>
          <w:szCs w:val="20"/>
          <w:lang w:val="pt-BR"/>
        </w:rPr>
        <w:t>Jean Aubert Díaz Alvarado</w:t>
      </w:r>
      <w:bookmarkEnd w:id="10"/>
    </w:p>
    <w:p w14:paraId="45D621D0" w14:textId="77777777" w:rsidR="0065706A" w:rsidRPr="00C92963" w:rsidRDefault="0065706A" w:rsidP="0065706A">
      <w:pPr>
        <w:pStyle w:val="ListParagraph"/>
        <w:rPr>
          <w:rFonts w:asciiTheme="majorHAnsi" w:hAnsiTheme="majorHAnsi"/>
          <w:b/>
          <w:color w:val="FF0000"/>
          <w:sz w:val="20"/>
          <w:szCs w:val="20"/>
          <w:lang w:val="pt-BR"/>
        </w:rPr>
      </w:pPr>
    </w:p>
    <w:p w14:paraId="42DC13A3" w14:textId="77777777" w:rsidR="0065706A" w:rsidRPr="00907C27" w:rsidRDefault="00415EA0" w:rsidP="0065706A">
      <w:pPr>
        <w:pStyle w:val="ListParagraph"/>
        <w:numPr>
          <w:ilvl w:val="0"/>
          <w:numId w:val="55"/>
        </w:numPr>
        <w:ind w:left="0" w:firstLine="630"/>
        <w:jc w:val="both"/>
        <w:rPr>
          <w:rFonts w:asciiTheme="majorHAnsi" w:hAnsiTheme="majorHAnsi"/>
          <w:sz w:val="20"/>
          <w:lang w:val="es-VE"/>
        </w:rPr>
      </w:pPr>
      <w:r w:rsidRPr="00907C27">
        <w:rPr>
          <w:rFonts w:asciiTheme="majorHAnsi" w:hAnsiTheme="majorHAnsi"/>
          <w:color w:val="auto"/>
          <w:sz w:val="20"/>
          <w:szCs w:val="20"/>
          <w:lang w:val="es-VE"/>
        </w:rPr>
        <w:t>E</w:t>
      </w:r>
      <w:r w:rsidR="0065706A" w:rsidRPr="00907C27">
        <w:rPr>
          <w:rFonts w:asciiTheme="majorHAnsi" w:hAnsiTheme="majorHAnsi"/>
          <w:sz w:val="20"/>
          <w:lang w:val="es-VE"/>
        </w:rPr>
        <w:t>l 24 de mayo de 1989 Jean Aubert Díaz Alvarado fue nombrado como Fiscal Provincial Adjunto a la Fiscalía Provincial Mixta de Huancayo del Distrito Judicial de Junín</w:t>
      </w:r>
      <w:r w:rsidR="0065706A">
        <w:rPr>
          <w:rStyle w:val="FootnoteReference"/>
          <w:rFonts w:asciiTheme="majorHAnsi" w:hAnsiTheme="majorHAnsi"/>
          <w:sz w:val="20"/>
          <w:lang w:val="es-ES_tradnl"/>
        </w:rPr>
        <w:footnoteReference w:id="38"/>
      </w:r>
      <w:r w:rsidR="0065706A" w:rsidRPr="00907C27">
        <w:rPr>
          <w:rFonts w:asciiTheme="majorHAnsi" w:hAnsiTheme="majorHAnsi"/>
          <w:sz w:val="20"/>
          <w:lang w:val="es-VE"/>
        </w:rPr>
        <w:t xml:space="preserve">. </w:t>
      </w:r>
    </w:p>
    <w:p w14:paraId="0FEA1D59" w14:textId="77777777" w:rsidR="0065706A" w:rsidRPr="00907C27" w:rsidRDefault="0065706A" w:rsidP="0065706A">
      <w:pPr>
        <w:pStyle w:val="ListParagraph"/>
        <w:ind w:left="630"/>
        <w:jc w:val="both"/>
        <w:rPr>
          <w:rFonts w:asciiTheme="majorHAnsi" w:hAnsiTheme="majorHAnsi"/>
          <w:sz w:val="20"/>
          <w:lang w:val="es-VE"/>
        </w:rPr>
      </w:pPr>
    </w:p>
    <w:p w14:paraId="23749D99" w14:textId="77777777" w:rsidR="0065706A" w:rsidRPr="00195A40" w:rsidRDefault="0065706A" w:rsidP="00195A40">
      <w:pPr>
        <w:pStyle w:val="ListParagraph"/>
        <w:numPr>
          <w:ilvl w:val="0"/>
          <w:numId w:val="55"/>
        </w:numPr>
        <w:ind w:left="0" w:firstLine="630"/>
        <w:jc w:val="both"/>
        <w:rPr>
          <w:rFonts w:asciiTheme="majorHAnsi" w:hAnsiTheme="majorHAnsi"/>
          <w:sz w:val="20"/>
          <w:lang w:val="es-ES_tradnl"/>
        </w:rPr>
      </w:pPr>
      <w:r w:rsidRPr="000F63FE">
        <w:rPr>
          <w:rFonts w:asciiTheme="majorHAnsi" w:hAnsiTheme="majorHAnsi"/>
          <w:sz w:val="20"/>
          <w:lang w:val="es-ES_tradnl"/>
        </w:rPr>
        <w:t xml:space="preserve">El </w:t>
      </w:r>
      <w:r w:rsidR="009E1A90" w:rsidRPr="000F63FE">
        <w:rPr>
          <w:rFonts w:asciiTheme="majorHAnsi" w:hAnsiTheme="majorHAnsi"/>
          <w:sz w:val="20"/>
          <w:lang w:val="es-ES_tradnl"/>
        </w:rPr>
        <w:t>22 de enero de</w:t>
      </w:r>
      <w:r w:rsidR="009E1A90" w:rsidRPr="005D4D3C">
        <w:rPr>
          <w:rFonts w:asciiTheme="majorHAnsi" w:hAnsiTheme="majorHAnsi"/>
          <w:sz w:val="20"/>
          <w:lang w:val="es-ES_tradnl"/>
        </w:rPr>
        <w:t xml:space="preserve"> 2001</w:t>
      </w:r>
      <w:r w:rsidR="00590538" w:rsidRPr="005D4D3C">
        <w:rPr>
          <w:rFonts w:asciiTheme="majorHAnsi" w:hAnsiTheme="majorHAnsi"/>
          <w:sz w:val="20"/>
          <w:lang w:val="es-ES_tradnl"/>
        </w:rPr>
        <w:t xml:space="preserve"> </w:t>
      </w:r>
      <w:r w:rsidR="009E1A90" w:rsidRPr="005D4D3C">
        <w:rPr>
          <w:rFonts w:asciiTheme="majorHAnsi" w:hAnsiTheme="majorHAnsi"/>
          <w:sz w:val="20"/>
          <w:lang w:val="es-ES_tradnl"/>
        </w:rPr>
        <w:t xml:space="preserve">fue publicada la </w:t>
      </w:r>
      <w:r w:rsidRPr="005D4D3C">
        <w:rPr>
          <w:rFonts w:asciiTheme="majorHAnsi" w:hAnsiTheme="majorHAnsi"/>
          <w:sz w:val="20"/>
          <w:lang w:val="es-ES_tradnl"/>
        </w:rPr>
        <w:t>resolución</w:t>
      </w:r>
      <w:r w:rsidR="009E1A90" w:rsidRPr="005D4D3C">
        <w:rPr>
          <w:rFonts w:asciiTheme="majorHAnsi" w:hAnsiTheme="majorHAnsi"/>
          <w:sz w:val="20"/>
          <w:lang w:val="es-ES_tradnl"/>
        </w:rPr>
        <w:t xml:space="preserve"> a través de la cual</w:t>
      </w:r>
      <w:r w:rsidRPr="005D4D3C">
        <w:rPr>
          <w:rFonts w:asciiTheme="majorHAnsi" w:hAnsiTheme="majorHAnsi"/>
          <w:sz w:val="20"/>
          <w:lang w:val="es-ES_tradnl"/>
        </w:rPr>
        <w:t xml:space="preserve"> el C</w:t>
      </w:r>
      <w:r w:rsidR="002220DE">
        <w:rPr>
          <w:rFonts w:asciiTheme="majorHAnsi" w:hAnsiTheme="majorHAnsi"/>
          <w:sz w:val="20"/>
          <w:lang w:val="es-ES_tradnl"/>
        </w:rPr>
        <w:t>NM</w:t>
      </w:r>
      <w:r w:rsidRPr="005D4D3C">
        <w:rPr>
          <w:rFonts w:asciiTheme="majorHAnsi" w:hAnsiTheme="majorHAnsi"/>
          <w:sz w:val="20"/>
          <w:lang w:val="es-ES_tradnl"/>
        </w:rPr>
        <w:t xml:space="preserve"> convocó a</w:t>
      </w:r>
      <w:r w:rsidR="00E70859">
        <w:rPr>
          <w:rFonts w:asciiTheme="majorHAnsi" w:hAnsiTheme="majorHAnsi"/>
          <w:sz w:val="20"/>
          <w:lang w:val="es-ES_tradnl"/>
        </w:rPr>
        <w:t xml:space="preserve"> una entrevista personal a</w:t>
      </w:r>
      <w:r w:rsidRPr="005D4D3C">
        <w:rPr>
          <w:rFonts w:asciiTheme="majorHAnsi" w:hAnsiTheme="majorHAnsi"/>
          <w:sz w:val="20"/>
          <w:lang w:val="es-ES_tradnl"/>
        </w:rPr>
        <w:t xml:space="preserve">l señor Jean Aubert Díaz Alvarado </w:t>
      </w:r>
      <w:r w:rsidR="00E70859">
        <w:rPr>
          <w:rFonts w:asciiTheme="majorHAnsi" w:hAnsiTheme="majorHAnsi"/>
          <w:sz w:val="20"/>
          <w:lang w:val="es-ES_tradnl"/>
        </w:rPr>
        <w:t>en el</w:t>
      </w:r>
      <w:r w:rsidRPr="005D4D3C">
        <w:rPr>
          <w:rFonts w:asciiTheme="majorHAnsi" w:hAnsiTheme="majorHAnsi"/>
          <w:sz w:val="20"/>
          <w:lang w:val="es-ES_tradnl"/>
        </w:rPr>
        <w:t xml:space="preserve"> proceso de evaluación y ratificación</w:t>
      </w:r>
      <w:r w:rsidRPr="005D4D3C">
        <w:rPr>
          <w:rStyle w:val="FootnoteReference"/>
          <w:rFonts w:asciiTheme="majorHAnsi" w:hAnsiTheme="majorHAnsi"/>
          <w:sz w:val="20"/>
          <w:szCs w:val="20"/>
          <w:lang w:val="es-ES"/>
        </w:rPr>
        <w:footnoteReference w:id="39"/>
      </w:r>
      <w:r w:rsidRPr="005D4D3C">
        <w:rPr>
          <w:rFonts w:asciiTheme="majorHAnsi" w:hAnsiTheme="majorHAnsi"/>
          <w:sz w:val="20"/>
          <w:lang w:val="es-ES_tradnl"/>
        </w:rPr>
        <w:t>.</w:t>
      </w:r>
      <w:r w:rsidR="007025C1">
        <w:rPr>
          <w:rFonts w:asciiTheme="majorHAnsi" w:hAnsiTheme="majorHAnsi"/>
          <w:sz w:val="20"/>
          <w:lang w:val="es-ES_tradnl"/>
        </w:rPr>
        <w:t xml:space="preserve"> </w:t>
      </w:r>
      <w:r w:rsidRPr="00195A40">
        <w:rPr>
          <w:rFonts w:asciiTheme="majorHAnsi" w:hAnsiTheme="majorHAnsi"/>
          <w:sz w:val="20"/>
          <w:szCs w:val="20"/>
          <w:lang w:val="es-CO"/>
        </w:rPr>
        <w:t>El peticionario refirió y el Estado no controvirtió, que durante la entrevista, ninguno de los Consejeros</w:t>
      </w:r>
      <w:r w:rsidR="00195A40">
        <w:rPr>
          <w:rFonts w:asciiTheme="majorHAnsi" w:hAnsiTheme="majorHAnsi"/>
          <w:sz w:val="20"/>
          <w:szCs w:val="20"/>
          <w:lang w:val="es-CO"/>
        </w:rPr>
        <w:t xml:space="preserve"> le</w:t>
      </w:r>
      <w:r w:rsidRPr="00195A40">
        <w:rPr>
          <w:rFonts w:asciiTheme="majorHAnsi" w:hAnsiTheme="majorHAnsi"/>
          <w:sz w:val="20"/>
          <w:szCs w:val="20"/>
          <w:lang w:val="es-CO"/>
        </w:rPr>
        <w:t xml:space="preserve"> imputó cargos</w:t>
      </w:r>
      <w:r w:rsidR="00195A40">
        <w:rPr>
          <w:rFonts w:asciiTheme="majorHAnsi" w:hAnsiTheme="majorHAnsi"/>
          <w:sz w:val="20"/>
          <w:szCs w:val="20"/>
          <w:lang w:val="es-CO"/>
        </w:rPr>
        <w:t xml:space="preserve"> puntuales</w:t>
      </w:r>
      <w:r w:rsidRPr="00195A40">
        <w:rPr>
          <w:rFonts w:asciiTheme="majorHAnsi" w:hAnsiTheme="majorHAnsi"/>
          <w:sz w:val="20"/>
          <w:szCs w:val="20"/>
          <w:lang w:val="es-CO"/>
        </w:rPr>
        <w:t xml:space="preserve">, y que uno de ellos le preguntó sobre las razones que lo llevaron a formalizar denuncia penal contra el </w:t>
      </w:r>
      <w:r w:rsidRPr="00195A40">
        <w:rPr>
          <w:rFonts w:asciiTheme="majorHAnsi" w:hAnsiTheme="majorHAnsi"/>
          <w:sz w:val="20"/>
          <w:szCs w:val="20"/>
          <w:lang w:val="es-ES"/>
        </w:rPr>
        <w:t>ex decano del Colegio de Abogados de Junín por el delito de apropiación ilícita</w:t>
      </w:r>
      <w:r>
        <w:rPr>
          <w:rStyle w:val="FootnoteReference"/>
          <w:rFonts w:asciiTheme="majorHAnsi" w:hAnsiTheme="majorHAnsi"/>
          <w:sz w:val="20"/>
          <w:szCs w:val="20"/>
          <w:lang w:val="es-ES"/>
        </w:rPr>
        <w:footnoteReference w:id="40"/>
      </w:r>
      <w:r w:rsidRPr="00195A40">
        <w:rPr>
          <w:rFonts w:asciiTheme="majorHAnsi" w:hAnsiTheme="majorHAnsi"/>
          <w:sz w:val="20"/>
          <w:szCs w:val="20"/>
          <w:lang w:val="es-ES"/>
        </w:rPr>
        <w:t xml:space="preserve">. </w:t>
      </w:r>
    </w:p>
    <w:p w14:paraId="4BCECE3F" w14:textId="77777777" w:rsidR="0065706A" w:rsidRPr="00723454" w:rsidRDefault="0065706A" w:rsidP="0065706A">
      <w:pPr>
        <w:rPr>
          <w:rFonts w:asciiTheme="majorHAnsi" w:hAnsiTheme="majorHAnsi"/>
          <w:b/>
          <w:color w:val="FF0000"/>
          <w:sz w:val="20"/>
          <w:szCs w:val="20"/>
        </w:rPr>
      </w:pPr>
    </w:p>
    <w:p w14:paraId="57CB34A8" w14:textId="77777777" w:rsidR="0065706A" w:rsidRPr="000415D6" w:rsidRDefault="0065706A" w:rsidP="0065706A">
      <w:pPr>
        <w:pStyle w:val="ListParagraph"/>
        <w:numPr>
          <w:ilvl w:val="0"/>
          <w:numId w:val="55"/>
        </w:numPr>
        <w:ind w:left="0" w:firstLine="630"/>
        <w:jc w:val="both"/>
        <w:rPr>
          <w:rFonts w:asciiTheme="majorHAnsi" w:hAnsiTheme="majorHAnsi"/>
          <w:color w:val="auto"/>
          <w:sz w:val="20"/>
          <w:szCs w:val="20"/>
          <w:lang w:val="es-CO"/>
        </w:rPr>
      </w:pPr>
      <w:r w:rsidRPr="005D4D3C">
        <w:rPr>
          <w:rFonts w:asciiTheme="majorHAnsi" w:hAnsiTheme="majorHAnsi"/>
          <w:color w:val="auto"/>
          <w:sz w:val="20"/>
          <w:szCs w:val="20"/>
          <w:lang w:val="es-CO"/>
        </w:rPr>
        <w:t>El 13 de julio de 2001</w:t>
      </w:r>
      <w:r w:rsidR="00667CAA" w:rsidRPr="005D4D3C">
        <w:rPr>
          <w:rFonts w:asciiTheme="majorHAnsi" w:hAnsiTheme="majorHAnsi"/>
          <w:color w:val="auto"/>
          <w:sz w:val="20"/>
          <w:szCs w:val="20"/>
          <w:lang w:val="es-CO"/>
        </w:rPr>
        <w:t xml:space="preserve"> e</w:t>
      </w:r>
      <w:r w:rsidRPr="005D4D3C">
        <w:rPr>
          <w:rFonts w:asciiTheme="majorHAnsi" w:hAnsiTheme="majorHAnsi"/>
          <w:color w:val="auto"/>
          <w:sz w:val="20"/>
          <w:szCs w:val="20"/>
          <w:lang w:val="es-CO"/>
        </w:rPr>
        <w:t>l CNM emitió resolución</w:t>
      </w:r>
      <w:r w:rsidR="00E87CF6">
        <w:rPr>
          <w:rFonts w:asciiTheme="majorHAnsi" w:hAnsiTheme="majorHAnsi"/>
          <w:color w:val="auto"/>
          <w:sz w:val="20"/>
          <w:szCs w:val="20"/>
          <w:lang w:val="es-CO"/>
        </w:rPr>
        <w:t xml:space="preserve"> determinando</w:t>
      </w:r>
      <w:r w:rsidRPr="005D4D3C">
        <w:rPr>
          <w:rFonts w:asciiTheme="majorHAnsi" w:hAnsiTheme="majorHAnsi"/>
          <w:color w:val="auto"/>
          <w:sz w:val="20"/>
          <w:szCs w:val="20"/>
          <w:lang w:val="es-CO"/>
        </w:rPr>
        <w:t xml:space="preserve"> la no ratificación de la presunta víctima y la cancelación de su nombramiento como </w:t>
      </w:r>
      <w:r w:rsidR="009E1A90" w:rsidRPr="005D4D3C">
        <w:rPr>
          <w:rFonts w:asciiTheme="majorHAnsi" w:hAnsiTheme="majorHAnsi"/>
          <w:color w:val="auto"/>
          <w:sz w:val="20"/>
          <w:szCs w:val="20"/>
          <w:lang w:val="es-CO"/>
        </w:rPr>
        <w:t>Fiscal Adjunto Provincial del Distrito Judicial de Junín</w:t>
      </w:r>
      <w:r w:rsidR="00B578FF">
        <w:rPr>
          <w:rFonts w:asciiTheme="majorHAnsi" w:hAnsiTheme="majorHAnsi"/>
          <w:color w:val="auto"/>
          <w:sz w:val="20"/>
          <w:szCs w:val="20"/>
          <w:lang w:val="es-CO"/>
        </w:rPr>
        <w:t>:</w:t>
      </w:r>
      <w:r w:rsidR="009E1A90" w:rsidRPr="005D4D3C">
        <w:rPr>
          <w:rFonts w:asciiTheme="majorHAnsi" w:hAnsiTheme="majorHAnsi"/>
          <w:color w:val="auto"/>
          <w:sz w:val="20"/>
          <w:szCs w:val="20"/>
          <w:lang w:val="es-CO"/>
        </w:rPr>
        <w:t xml:space="preserve"> “se resuelve: Primero.- Dejar sin efecto los nombramientos, cancelándose los Títulos expedidos a los jueces y fiscales que a continuación se detallan, por no haber sido ratificados en sus cargos: (…) Ministerio Público, Distrito Judicial De Junín, Fiscales Adjuntos Provinciales: Díaz Alvarado, Jean Aubert(…)”</w:t>
      </w:r>
      <w:r w:rsidR="004A367A" w:rsidRPr="005D4D3C">
        <w:rPr>
          <w:rStyle w:val="FootnoteReference"/>
          <w:rFonts w:asciiTheme="majorHAnsi" w:hAnsiTheme="majorHAnsi"/>
          <w:color w:val="auto"/>
          <w:sz w:val="20"/>
          <w:szCs w:val="20"/>
          <w:lang w:val="es-CO"/>
        </w:rPr>
        <w:footnoteReference w:id="41"/>
      </w:r>
      <w:r w:rsidR="004A367A" w:rsidRPr="005D4D3C">
        <w:rPr>
          <w:rFonts w:asciiTheme="majorHAnsi" w:hAnsiTheme="majorHAnsi"/>
          <w:color w:val="auto"/>
          <w:sz w:val="20"/>
          <w:szCs w:val="20"/>
          <w:lang w:val="es-CO"/>
        </w:rPr>
        <w:t>.</w:t>
      </w:r>
      <w:r w:rsidR="001C23FB">
        <w:rPr>
          <w:rFonts w:asciiTheme="majorHAnsi" w:hAnsiTheme="majorHAnsi"/>
          <w:color w:val="auto"/>
          <w:sz w:val="20"/>
          <w:szCs w:val="20"/>
          <w:lang w:val="es-CO"/>
        </w:rPr>
        <w:t>L</w:t>
      </w:r>
      <w:r w:rsidRPr="005D4D3C">
        <w:rPr>
          <w:rFonts w:asciiTheme="majorHAnsi" w:hAnsiTheme="majorHAnsi"/>
          <w:color w:val="auto"/>
          <w:sz w:val="20"/>
          <w:szCs w:val="20"/>
          <w:lang w:val="es-CO"/>
        </w:rPr>
        <w:t>a decisión no</w:t>
      </w:r>
      <w:r w:rsidR="001C23FB">
        <w:rPr>
          <w:rFonts w:asciiTheme="majorHAnsi" w:hAnsiTheme="majorHAnsi"/>
          <w:color w:val="auto"/>
          <w:sz w:val="20"/>
          <w:szCs w:val="20"/>
          <w:lang w:val="es-CO"/>
        </w:rPr>
        <w:t xml:space="preserve"> tiene mayor motivación</w:t>
      </w:r>
      <w:r w:rsidRPr="005D4D3C">
        <w:rPr>
          <w:rFonts w:asciiTheme="majorHAnsi" w:hAnsiTheme="majorHAnsi"/>
          <w:color w:val="auto"/>
          <w:sz w:val="20"/>
          <w:szCs w:val="20"/>
          <w:lang w:val="es-CO"/>
        </w:rPr>
        <w:t xml:space="preserve">. </w:t>
      </w:r>
    </w:p>
    <w:p w14:paraId="29AFEED8" w14:textId="77777777" w:rsidR="0065706A" w:rsidRPr="005D4D3C" w:rsidRDefault="0065706A" w:rsidP="0065706A">
      <w:pPr>
        <w:pStyle w:val="ListParagraph"/>
        <w:numPr>
          <w:ilvl w:val="0"/>
          <w:numId w:val="55"/>
        </w:numPr>
        <w:ind w:left="0" w:firstLine="630"/>
        <w:jc w:val="both"/>
        <w:rPr>
          <w:rFonts w:asciiTheme="majorHAnsi" w:hAnsiTheme="majorHAnsi"/>
          <w:color w:val="auto"/>
          <w:sz w:val="20"/>
          <w:szCs w:val="20"/>
          <w:lang w:val="es-CO"/>
        </w:rPr>
      </w:pPr>
      <w:r w:rsidRPr="00A715B5">
        <w:rPr>
          <w:rFonts w:asciiTheme="majorHAnsi" w:hAnsiTheme="majorHAnsi"/>
          <w:color w:val="auto"/>
          <w:sz w:val="20"/>
          <w:szCs w:val="20"/>
          <w:lang w:val="es-CO"/>
        </w:rPr>
        <w:t>El</w:t>
      </w:r>
      <w:r>
        <w:rPr>
          <w:rFonts w:asciiTheme="majorHAnsi" w:hAnsiTheme="majorHAnsi"/>
          <w:color w:val="auto"/>
          <w:sz w:val="20"/>
          <w:szCs w:val="20"/>
          <w:lang w:val="es-CO"/>
        </w:rPr>
        <w:t xml:space="preserve"> 6 de diciembre de 2006 la presunta víctima interpuso amparo en </w:t>
      </w:r>
      <w:r w:rsidRPr="005D4D3C">
        <w:rPr>
          <w:rFonts w:asciiTheme="majorHAnsi" w:hAnsiTheme="majorHAnsi"/>
          <w:color w:val="auto"/>
          <w:sz w:val="20"/>
          <w:szCs w:val="20"/>
          <w:lang w:val="es-CO"/>
        </w:rPr>
        <w:t xml:space="preserve">contra de </w:t>
      </w:r>
      <w:r w:rsidR="00F43C31">
        <w:rPr>
          <w:rFonts w:asciiTheme="majorHAnsi" w:hAnsiTheme="majorHAnsi"/>
          <w:color w:val="auto"/>
          <w:sz w:val="20"/>
          <w:szCs w:val="20"/>
          <w:lang w:val="es-CO"/>
        </w:rPr>
        <w:t>esta</w:t>
      </w:r>
      <w:r w:rsidRPr="005D4D3C">
        <w:rPr>
          <w:rFonts w:asciiTheme="majorHAnsi" w:hAnsiTheme="majorHAnsi"/>
          <w:color w:val="auto"/>
          <w:sz w:val="20"/>
          <w:szCs w:val="20"/>
          <w:lang w:val="es-CO"/>
        </w:rPr>
        <w:t xml:space="preserve"> decisión ante el </w:t>
      </w:r>
      <w:r w:rsidR="004A367A" w:rsidRPr="005D4D3C">
        <w:rPr>
          <w:rFonts w:asciiTheme="majorHAnsi" w:hAnsiTheme="majorHAnsi"/>
          <w:color w:val="auto"/>
          <w:sz w:val="20"/>
          <w:szCs w:val="20"/>
          <w:lang w:val="es-CO"/>
        </w:rPr>
        <w:t>Juzgado Mixto de Puente Piedra, Santa Rosa y Ancón</w:t>
      </w:r>
      <w:r w:rsidR="004A367A" w:rsidRPr="005D4D3C">
        <w:rPr>
          <w:rStyle w:val="FootnoteReference"/>
          <w:rFonts w:asciiTheme="majorHAnsi" w:hAnsiTheme="majorHAnsi"/>
          <w:color w:val="auto"/>
          <w:sz w:val="20"/>
          <w:szCs w:val="20"/>
          <w:lang w:val="es-CO"/>
        </w:rPr>
        <w:footnoteReference w:id="42"/>
      </w:r>
      <w:r w:rsidR="004A367A" w:rsidRPr="005D4D3C">
        <w:rPr>
          <w:rFonts w:asciiTheme="majorHAnsi" w:hAnsiTheme="majorHAnsi"/>
          <w:color w:val="auto"/>
          <w:sz w:val="20"/>
          <w:szCs w:val="20"/>
          <w:lang w:val="es-CO"/>
        </w:rPr>
        <w:t>.</w:t>
      </w:r>
    </w:p>
    <w:p w14:paraId="5D6A97D4" w14:textId="77777777" w:rsidR="0065706A" w:rsidRPr="00005325" w:rsidRDefault="0065706A" w:rsidP="0065706A">
      <w:pPr>
        <w:pStyle w:val="ListParagraph"/>
        <w:rPr>
          <w:rFonts w:asciiTheme="majorHAnsi" w:hAnsiTheme="majorHAnsi"/>
          <w:color w:val="auto"/>
          <w:sz w:val="20"/>
          <w:szCs w:val="20"/>
          <w:lang w:val="es-CO"/>
        </w:rPr>
      </w:pPr>
    </w:p>
    <w:p w14:paraId="5D4F852B" w14:textId="77777777" w:rsidR="0065706A" w:rsidRDefault="0065706A" w:rsidP="0065706A">
      <w:pPr>
        <w:pStyle w:val="ListParagraph"/>
        <w:numPr>
          <w:ilvl w:val="0"/>
          <w:numId w:val="55"/>
        </w:numPr>
        <w:ind w:left="0" w:firstLine="630"/>
        <w:jc w:val="both"/>
        <w:rPr>
          <w:rFonts w:asciiTheme="majorHAnsi" w:hAnsiTheme="majorHAnsi"/>
          <w:color w:val="auto"/>
          <w:sz w:val="20"/>
          <w:szCs w:val="20"/>
          <w:lang w:val="es-CO"/>
        </w:rPr>
      </w:pPr>
      <w:r>
        <w:rPr>
          <w:rFonts w:asciiTheme="majorHAnsi" w:hAnsiTheme="majorHAnsi"/>
          <w:color w:val="auto"/>
          <w:sz w:val="20"/>
          <w:szCs w:val="20"/>
          <w:lang w:val="es-CO"/>
        </w:rPr>
        <w:t>El 12 de diciembre de 2006</w:t>
      </w:r>
      <w:r w:rsidR="00707B80">
        <w:rPr>
          <w:rFonts w:asciiTheme="majorHAnsi" w:hAnsiTheme="majorHAnsi"/>
          <w:color w:val="auto"/>
          <w:sz w:val="20"/>
          <w:szCs w:val="20"/>
          <w:lang w:val="es-CO"/>
        </w:rPr>
        <w:t xml:space="preserve"> se </w:t>
      </w:r>
      <w:r>
        <w:rPr>
          <w:rFonts w:asciiTheme="majorHAnsi" w:hAnsiTheme="majorHAnsi"/>
          <w:color w:val="auto"/>
          <w:sz w:val="20"/>
          <w:szCs w:val="20"/>
          <w:lang w:val="es-CO"/>
        </w:rPr>
        <w:t xml:space="preserve">declaró improcedente la demanda </w:t>
      </w:r>
      <w:r w:rsidRPr="005D4D3C">
        <w:rPr>
          <w:rFonts w:asciiTheme="majorHAnsi" w:hAnsiTheme="majorHAnsi"/>
          <w:color w:val="auto"/>
          <w:sz w:val="20"/>
          <w:szCs w:val="20"/>
          <w:lang w:val="es-CO"/>
        </w:rPr>
        <w:t xml:space="preserve">por considerar que </w:t>
      </w:r>
      <w:r w:rsidR="00556FC1" w:rsidRPr="005D4D3C">
        <w:rPr>
          <w:rFonts w:asciiTheme="majorHAnsi" w:hAnsiTheme="majorHAnsi"/>
          <w:color w:val="auto"/>
          <w:sz w:val="20"/>
          <w:szCs w:val="20"/>
          <w:lang w:val="es-CO"/>
        </w:rPr>
        <w:t>“son improcedentes las demandas constitucionales, que tiendan a cuestionar las resoluciones definitivas del Consejo Nacional de la Magistratura en materia de destitución y ratificación de jueces y fiscales, siempre que dichas resoluciones hayan sido motivadas y con audiencia previa del interesado”</w:t>
      </w:r>
      <w:r w:rsidR="00EF034A">
        <w:rPr>
          <w:rFonts w:asciiTheme="majorHAnsi" w:hAnsiTheme="majorHAnsi"/>
          <w:color w:val="auto"/>
          <w:sz w:val="20"/>
          <w:szCs w:val="20"/>
          <w:lang w:val="es-CO"/>
        </w:rPr>
        <w:t>. A</w:t>
      </w:r>
      <w:r w:rsidR="00F80F0F">
        <w:rPr>
          <w:rFonts w:asciiTheme="majorHAnsi" w:hAnsiTheme="majorHAnsi"/>
          <w:color w:val="auto"/>
          <w:sz w:val="20"/>
          <w:szCs w:val="20"/>
          <w:lang w:val="es-CO"/>
        </w:rPr>
        <w:t>gregó que</w:t>
      </w:r>
      <w:r w:rsidRPr="005D4D3C">
        <w:rPr>
          <w:rFonts w:asciiTheme="majorHAnsi" w:hAnsiTheme="majorHAnsi"/>
          <w:color w:val="auto"/>
          <w:sz w:val="20"/>
          <w:szCs w:val="20"/>
          <w:lang w:val="es-CO"/>
        </w:rPr>
        <w:t xml:space="preserve"> la presunta víctima</w:t>
      </w:r>
      <w:r w:rsidR="004A367A" w:rsidRPr="005D4D3C">
        <w:rPr>
          <w:rFonts w:asciiTheme="majorHAnsi" w:hAnsiTheme="majorHAnsi"/>
          <w:color w:val="auto"/>
          <w:sz w:val="20"/>
          <w:szCs w:val="20"/>
          <w:lang w:val="es-CO"/>
        </w:rPr>
        <w:t xml:space="preserve"> “admite haber sido entrevistado en el proceso previo a su no ratificación, sin hacer cuestionamient</w:t>
      </w:r>
      <w:r w:rsidR="00F80F0F">
        <w:rPr>
          <w:rFonts w:asciiTheme="majorHAnsi" w:hAnsiTheme="majorHAnsi"/>
          <w:color w:val="auto"/>
          <w:sz w:val="20"/>
          <w:szCs w:val="20"/>
          <w:lang w:val="es-CO"/>
        </w:rPr>
        <w:t>o</w:t>
      </w:r>
      <w:r w:rsidR="004A367A" w:rsidRPr="005D4D3C">
        <w:rPr>
          <w:rFonts w:asciiTheme="majorHAnsi" w:hAnsiTheme="majorHAnsi"/>
          <w:color w:val="auto"/>
          <w:sz w:val="20"/>
          <w:szCs w:val="20"/>
          <w:lang w:val="es-CO"/>
        </w:rPr>
        <w:t xml:space="preserve"> alguno, habiéndose sometido voluntariamente a dicho proceso administrativo que no puede ser </w:t>
      </w:r>
      <w:r w:rsidR="00556FC1" w:rsidRPr="005D4D3C">
        <w:rPr>
          <w:rFonts w:asciiTheme="majorHAnsi" w:hAnsiTheme="majorHAnsi"/>
          <w:color w:val="auto"/>
          <w:sz w:val="20"/>
          <w:szCs w:val="20"/>
          <w:lang w:val="es-CO"/>
        </w:rPr>
        <w:t>cuestionado mediante el proceso de amparo; consecuentemente se le otorgó el derecho de defensa y el debido proceso que cautela la Constitución Política</w:t>
      </w:r>
      <w:r w:rsidR="00E3769A" w:rsidRPr="005D4D3C">
        <w:rPr>
          <w:rFonts w:asciiTheme="majorHAnsi" w:hAnsiTheme="majorHAnsi"/>
          <w:color w:val="auto"/>
          <w:sz w:val="20"/>
          <w:szCs w:val="20"/>
          <w:lang w:val="es-CO"/>
        </w:rPr>
        <w:t>”</w:t>
      </w:r>
      <w:r w:rsidRPr="005D4D3C">
        <w:rPr>
          <w:rStyle w:val="FootnoteReference"/>
          <w:rFonts w:asciiTheme="majorHAnsi" w:hAnsiTheme="majorHAnsi"/>
          <w:color w:val="auto"/>
          <w:sz w:val="20"/>
          <w:szCs w:val="20"/>
          <w:lang w:val="es-CO"/>
        </w:rPr>
        <w:footnoteReference w:id="43"/>
      </w:r>
      <w:r w:rsidR="00E3769A" w:rsidRPr="005D4D3C">
        <w:rPr>
          <w:rFonts w:asciiTheme="majorHAnsi" w:hAnsiTheme="majorHAnsi"/>
          <w:color w:val="auto"/>
          <w:sz w:val="20"/>
          <w:szCs w:val="20"/>
          <w:lang w:val="es-CO"/>
        </w:rPr>
        <w:t>.</w:t>
      </w:r>
      <w:r w:rsidR="00EF1C74">
        <w:rPr>
          <w:rFonts w:asciiTheme="majorHAnsi" w:hAnsiTheme="majorHAnsi"/>
          <w:color w:val="auto"/>
          <w:sz w:val="20"/>
          <w:szCs w:val="20"/>
          <w:lang w:val="es-CO"/>
        </w:rPr>
        <w:t xml:space="preserve"> La presunta víctima apeló esta decisión y el 3 de agosto de 2007 la Segunda Sala Civil declaró sin lugar el recurso indicando que presentó su demanda </w:t>
      </w:r>
      <w:r w:rsidR="00EF1C74" w:rsidRPr="00297E1C">
        <w:rPr>
          <w:rFonts w:asciiTheme="majorHAnsi" w:hAnsiTheme="majorHAnsi"/>
          <w:color w:val="auto"/>
          <w:sz w:val="20"/>
          <w:szCs w:val="20"/>
          <w:lang w:val="es-CO"/>
        </w:rPr>
        <w:t xml:space="preserve">fuera del plazo de 60 días hábiles desde que se produjo la afectación, </w:t>
      </w:r>
      <w:r w:rsidR="00EF1C74">
        <w:rPr>
          <w:rFonts w:asciiTheme="majorHAnsi" w:hAnsiTheme="majorHAnsi"/>
          <w:color w:val="auto"/>
          <w:sz w:val="20"/>
          <w:szCs w:val="20"/>
          <w:lang w:val="es-CO"/>
        </w:rPr>
        <w:t>y ante un</w:t>
      </w:r>
      <w:r w:rsidR="00EF1C74" w:rsidRPr="00297E1C">
        <w:rPr>
          <w:rFonts w:asciiTheme="majorHAnsi" w:hAnsiTheme="majorHAnsi"/>
          <w:color w:val="auto"/>
          <w:sz w:val="20"/>
          <w:szCs w:val="20"/>
          <w:lang w:val="es-CO"/>
        </w:rPr>
        <w:t xml:space="preserve"> órgano no competente por razón del territorio</w:t>
      </w:r>
      <w:r w:rsidR="00EF1C74">
        <w:rPr>
          <w:rStyle w:val="FootnoteReference"/>
          <w:rFonts w:asciiTheme="majorHAnsi" w:hAnsiTheme="majorHAnsi"/>
          <w:color w:val="auto"/>
          <w:sz w:val="20"/>
          <w:szCs w:val="20"/>
          <w:lang w:val="es-CO"/>
        </w:rPr>
        <w:footnoteReference w:id="44"/>
      </w:r>
      <w:r w:rsidR="00EF1C74" w:rsidRPr="00297E1C">
        <w:rPr>
          <w:rFonts w:asciiTheme="majorHAnsi" w:hAnsiTheme="majorHAnsi"/>
          <w:color w:val="auto"/>
          <w:sz w:val="20"/>
          <w:szCs w:val="20"/>
          <w:lang w:val="es-CO"/>
        </w:rPr>
        <w:t>.</w:t>
      </w:r>
    </w:p>
    <w:p w14:paraId="4EB4A4B4" w14:textId="77777777" w:rsidR="0065706A" w:rsidRPr="000415D6" w:rsidRDefault="0065706A" w:rsidP="000415D6">
      <w:pPr>
        <w:rPr>
          <w:rFonts w:asciiTheme="majorHAnsi" w:hAnsiTheme="majorHAnsi"/>
          <w:sz w:val="20"/>
          <w:szCs w:val="20"/>
        </w:rPr>
      </w:pPr>
    </w:p>
    <w:p w14:paraId="031F5E51" w14:textId="77777777" w:rsidR="0065706A" w:rsidRPr="00D770A9" w:rsidRDefault="00777A3C" w:rsidP="00064450">
      <w:pPr>
        <w:pStyle w:val="ListParagraph"/>
        <w:numPr>
          <w:ilvl w:val="0"/>
          <w:numId w:val="55"/>
        </w:numPr>
        <w:ind w:left="0" w:firstLine="630"/>
        <w:jc w:val="both"/>
        <w:rPr>
          <w:rFonts w:asciiTheme="majorHAnsi" w:hAnsiTheme="majorHAnsi"/>
          <w:color w:val="auto"/>
          <w:sz w:val="20"/>
          <w:szCs w:val="20"/>
          <w:lang w:val="es-CO"/>
        </w:rPr>
      </w:pPr>
      <w:r>
        <w:rPr>
          <w:rFonts w:asciiTheme="majorHAnsi" w:hAnsiTheme="majorHAnsi"/>
          <w:color w:val="auto"/>
          <w:sz w:val="20"/>
          <w:szCs w:val="20"/>
          <w:lang w:val="es-CO"/>
        </w:rPr>
        <w:t>L</w:t>
      </w:r>
      <w:r w:rsidR="0065706A">
        <w:rPr>
          <w:rFonts w:asciiTheme="majorHAnsi" w:hAnsiTheme="majorHAnsi"/>
          <w:color w:val="auto"/>
          <w:sz w:val="20"/>
          <w:szCs w:val="20"/>
          <w:lang w:val="es-CO"/>
        </w:rPr>
        <w:t xml:space="preserve">a presunta víctima presentó un recurso </w:t>
      </w:r>
      <w:r w:rsidR="003B5294">
        <w:rPr>
          <w:rFonts w:asciiTheme="majorHAnsi" w:hAnsiTheme="majorHAnsi"/>
          <w:color w:val="auto"/>
          <w:sz w:val="20"/>
          <w:szCs w:val="20"/>
          <w:lang w:val="es-CO"/>
        </w:rPr>
        <w:t>de agravio constitucional</w:t>
      </w:r>
      <w:r w:rsidR="0065706A">
        <w:rPr>
          <w:rFonts w:asciiTheme="majorHAnsi" w:hAnsiTheme="majorHAnsi"/>
          <w:color w:val="auto"/>
          <w:sz w:val="20"/>
          <w:szCs w:val="20"/>
          <w:lang w:val="es-CO"/>
        </w:rPr>
        <w:t xml:space="preserve"> ante el Tribunal Constitucional en contra de la decisión anterior</w:t>
      </w:r>
      <w:r w:rsidR="00504BF4">
        <w:rPr>
          <w:rFonts w:asciiTheme="majorHAnsi" w:hAnsiTheme="majorHAnsi"/>
          <w:color w:val="auto"/>
          <w:sz w:val="20"/>
          <w:szCs w:val="20"/>
          <w:lang w:val="es-CO"/>
        </w:rPr>
        <w:t>, el cual fue declarado sin lugar el 19 de diciembre de 2007</w:t>
      </w:r>
      <w:r w:rsidR="00906CB0">
        <w:rPr>
          <w:rFonts w:asciiTheme="majorHAnsi" w:hAnsiTheme="majorHAnsi"/>
          <w:color w:val="auto"/>
          <w:sz w:val="20"/>
          <w:szCs w:val="20"/>
          <w:lang w:val="es-CO"/>
        </w:rPr>
        <w:t xml:space="preserve"> p</w:t>
      </w:r>
      <w:r w:rsidR="00671107">
        <w:rPr>
          <w:rFonts w:asciiTheme="majorHAnsi" w:hAnsiTheme="majorHAnsi"/>
          <w:color w:val="auto"/>
          <w:sz w:val="20"/>
          <w:szCs w:val="20"/>
          <w:lang w:val="es-CO"/>
        </w:rPr>
        <w:t xml:space="preserve">or haberse presentado fuera de plazo </w:t>
      </w:r>
      <w:r w:rsidR="00903CEA">
        <w:rPr>
          <w:rFonts w:asciiTheme="majorHAnsi" w:hAnsiTheme="majorHAnsi"/>
          <w:color w:val="auto"/>
          <w:sz w:val="20"/>
          <w:szCs w:val="20"/>
          <w:lang w:val="es-CO"/>
        </w:rPr>
        <w:t>sin tratare de una afectación continuada</w:t>
      </w:r>
      <w:r w:rsidR="00585421" w:rsidRPr="008A015D">
        <w:rPr>
          <w:rStyle w:val="FootnoteReference"/>
          <w:rFonts w:asciiTheme="majorHAnsi" w:hAnsiTheme="majorHAnsi"/>
          <w:color w:val="auto"/>
          <w:sz w:val="20"/>
          <w:szCs w:val="20"/>
          <w:lang w:val="es-CO"/>
        </w:rPr>
        <w:footnoteReference w:id="45"/>
      </w:r>
      <w:r w:rsidR="00585421" w:rsidRPr="008A015D">
        <w:rPr>
          <w:rFonts w:asciiTheme="majorHAnsi" w:hAnsiTheme="majorHAnsi"/>
          <w:color w:val="auto"/>
          <w:sz w:val="20"/>
          <w:szCs w:val="20"/>
          <w:lang w:val="es-CO"/>
        </w:rPr>
        <w:t>.</w:t>
      </w:r>
      <w:r w:rsidR="0065706A" w:rsidRPr="00D770A9">
        <w:rPr>
          <w:rFonts w:asciiTheme="majorHAnsi" w:hAnsiTheme="majorHAnsi"/>
          <w:color w:val="auto"/>
          <w:sz w:val="20"/>
          <w:szCs w:val="20"/>
          <w:lang w:val="es-CO"/>
        </w:rPr>
        <w:t xml:space="preserve"> </w:t>
      </w:r>
    </w:p>
    <w:p w14:paraId="6572037E" w14:textId="77777777" w:rsidR="0065706A" w:rsidRPr="00DA3739" w:rsidRDefault="0065706A" w:rsidP="0065706A">
      <w:pPr>
        <w:rPr>
          <w:rFonts w:asciiTheme="majorHAnsi" w:hAnsiTheme="majorHAnsi"/>
          <w:b/>
          <w:color w:val="FF0000"/>
          <w:sz w:val="20"/>
          <w:szCs w:val="20"/>
          <w:lang w:val="es-ES_tradnl"/>
        </w:rPr>
      </w:pPr>
    </w:p>
    <w:p w14:paraId="61FCF036" w14:textId="77777777" w:rsidR="0065706A" w:rsidRPr="00776B4C" w:rsidRDefault="0065706A" w:rsidP="003E17D7">
      <w:pPr>
        <w:pStyle w:val="Heading3"/>
        <w:numPr>
          <w:ilvl w:val="0"/>
          <w:numId w:val="58"/>
        </w:numPr>
        <w:spacing w:before="0" w:after="0"/>
        <w:ind w:hanging="90"/>
        <w:rPr>
          <w:rFonts w:asciiTheme="majorHAnsi" w:hAnsiTheme="majorHAnsi"/>
          <w:sz w:val="20"/>
          <w:szCs w:val="20"/>
          <w:lang w:val="es-ES"/>
        </w:rPr>
      </w:pPr>
      <w:r>
        <w:rPr>
          <w:rFonts w:asciiTheme="majorHAnsi" w:hAnsiTheme="majorHAnsi"/>
          <w:sz w:val="20"/>
          <w:szCs w:val="20"/>
          <w:lang w:val="es-ES"/>
        </w:rPr>
        <w:t xml:space="preserve"> </w:t>
      </w:r>
      <w:bookmarkStart w:id="11" w:name="_Toc527450125"/>
      <w:r>
        <w:rPr>
          <w:rFonts w:asciiTheme="majorHAnsi" w:hAnsiTheme="majorHAnsi"/>
          <w:sz w:val="20"/>
          <w:szCs w:val="20"/>
          <w:lang w:val="es-ES"/>
        </w:rPr>
        <w:t>Marta Silvana Rodríguez Ricse</w:t>
      </w:r>
      <w:bookmarkEnd w:id="11"/>
    </w:p>
    <w:p w14:paraId="3F9826A0" w14:textId="77777777" w:rsidR="0065706A" w:rsidRPr="000515A0" w:rsidRDefault="0065706A" w:rsidP="0065706A">
      <w:pPr>
        <w:pStyle w:val="ListParagraph"/>
        <w:rPr>
          <w:rFonts w:asciiTheme="majorHAnsi" w:hAnsiTheme="majorHAnsi"/>
          <w:b/>
          <w:color w:val="FF0000"/>
          <w:sz w:val="20"/>
          <w:szCs w:val="20"/>
          <w:lang w:val="es-ES"/>
        </w:rPr>
      </w:pPr>
    </w:p>
    <w:p w14:paraId="4B0EAE40" w14:textId="77777777" w:rsidR="0065706A" w:rsidRPr="00E82314" w:rsidRDefault="00294F12" w:rsidP="0065706A">
      <w:pPr>
        <w:pStyle w:val="ListParagraph"/>
        <w:numPr>
          <w:ilvl w:val="0"/>
          <w:numId w:val="55"/>
        </w:numPr>
        <w:ind w:left="0" w:firstLine="630"/>
        <w:jc w:val="both"/>
        <w:rPr>
          <w:rFonts w:asciiTheme="majorHAnsi" w:hAnsiTheme="majorHAnsi"/>
          <w:sz w:val="20"/>
          <w:lang w:val="es-ES_tradnl"/>
        </w:rPr>
      </w:pPr>
      <w:r>
        <w:rPr>
          <w:rFonts w:asciiTheme="majorHAnsi" w:hAnsiTheme="majorHAnsi"/>
          <w:color w:val="auto"/>
          <w:sz w:val="20"/>
          <w:szCs w:val="20"/>
          <w:lang w:val="es-ES_tradnl"/>
        </w:rPr>
        <w:t>E</w:t>
      </w:r>
      <w:r w:rsidR="0065706A" w:rsidRPr="00E82314">
        <w:rPr>
          <w:rFonts w:asciiTheme="majorHAnsi" w:hAnsiTheme="majorHAnsi"/>
          <w:color w:val="auto"/>
          <w:sz w:val="20"/>
          <w:szCs w:val="20"/>
          <w:lang w:val="es-ES_tradnl"/>
        </w:rPr>
        <w:t>l 6 de mayo de 198</w:t>
      </w:r>
      <w:r w:rsidR="008138B7">
        <w:rPr>
          <w:rFonts w:asciiTheme="majorHAnsi" w:hAnsiTheme="majorHAnsi"/>
          <w:color w:val="auto"/>
          <w:sz w:val="20"/>
          <w:szCs w:val="20"/>
          <w:lang w:val="es-ES_tradnl"/>
        </w:rPr>
        <w:t>7</w:t>
      </w:r>
      <w:r w:rsidR="0065706A" w:rsidRPr="00E82314">
        <w:rPr>
          <w:rFonts w:asciiTheme="majorHAnsi" w:hAnsiTheme="majorHAnsi"/>
          <w:color w:val="auto"/>
          <w:sz w:val="20"/>
          <w:szCs w:val="20"/>
          <w:lang w:val="es-ES_tradnl"/>
        </w:rPr>
        <w:t xml:space="preserve"> Marta Silvana Rodríguez Ricse</w:t>
      </w:r>
      <w:r w:rsidR="0065706A" w:rsidRPr="00E82314">
        <w:rPr>
          <w:rFonts w:asciiTheme="majorHAnsi" w:hAnsiTheme="majorHAnsi"/>
          <w:sz w:val="20"/>
          <w:lang w:val="es-ES_tradnl"/>
        </w:rPr>
        <w:t xml:space="preserve"> fue nombrada como Fiscal Provincial Adjunto a la Fiscalía Provincial Mixta de Huancayo del Distrito Judicial de Junín</w:t>
      </w:r>
      <w:r w:rsidR="0065706A">
        <w:rPr>
          <w:rStyle w:val="FootnoteReference"/>
          <w:rFonts w:asciiTheme="majorHAnsi" w:hAnsiTheme="majorHAnsi"/>
          <w:sz w:val="20"/>
          <w:lang w:val="es-ES_tradnl"/>
        </w:rPr>
        <w:footnoteReference w:id="46"/>
      </w:r>
      <w:r w:rsidR="0065706A" w:rsidRPr="00E82314">
        <w:rPr>
          <w:rFonts w:asciiTheme="majorHAnsi" w:hAnsiTheme="majorHAnsi"/>
          <w:sz w:val="20"/>
          <w:lang w:val="es-ES_tradnl"/>
        </w:rPr>
        <w:t xml:space="preserve">. </w:t>
      </w:r>
    </w:p>
    <w:p w14:paraId="0D3FBD32" w14:textId="77777777" w:rsidR="0065706A" w:rsidRPr="005335DE" w:rsidRDefault="0065706A" w:rsidP="0065706A">
      <w:pPr>
        <w:pStyle w:val="ListParagraph"/>
        <w:ind w:left="630"/>
        <w:jc w:val="both"/>
        <w:rPr>
          <w:rFonts w:asciiTheme="majorHAnsi" w:hAnsiTheme="majorHAnsi"/>
          <w:color w:val="auto"/>
          <w:sz w:val="20"/>
          <w:szCs w:val="20"/>
          <w:lang w:val="es-ES_tradnl"/>
        </w:rPr>
      </w:pPr>
    </w:p>
    <w:p w14:paraId="6149E8E0" w14:textId="77777777" w:rsidR="0065706A" w:rsidRPr="008A015D" w:rsidRDefault="0065706A" w:rsidP="0065706A">
      <w:pPr>
        <w:pStyle w:val="ListParagraph"/>
        <w:numPr>
          <w:ilvl w:val="0"/>
          <w:numId w:val="55"/>
        </w:numPr>
        <w:ind w:left="0" w:firstLine="630"/>
        <w:jc w:val="both"/>
        <w:rPr>
          <w:rFonts w:asciiTheme="majorHAnsi" w:hAnsiTheme="majorHAnsi"/>
          <w:color w:val="auto"/>
          <w:sz w:val="20"/>
          <w:szCs w:val="20"/>
          <w:lang w:val="es-CO"/>
        </w:rPr>
      </w:pPr>
      <w:r w:rsidRPr="008A015D">
        <w:rPr>
          <w:rFonts w:asciiTheme="majorHAnsi" w:hAnsiTheme="majorHAnsi"/>
          <w:color w:val="auto"/>
          <w:sz w:val="20"/>
          <w:szCs w:val="20"/>
          <w:lang w:val="es-CO"/>
        </w:rPr>
        <w:t>El</w:t>
      </w:r>
      <w:r w:rsidR="008138B7" w:rsidRPr="008A015D">
        <w:rPr>
          <w:rFonts w:asciiTheme="majorHAnsi" w:hAnsiTheme="majorHAnsi"/>
          <w:color w:val="auto"/>
          <w:sz w:val="20"/>
          <w:szCs w:val="20"/>
          <w:lang w:val="es-CO"/>
        </w:rPr>
        <w:t xml:space="preserve"> 22 de enero de 2001 fue publicada la</w:t>
      </w:r>
      <w:r w:rsidRPr="008A015D">
        <w:rPr>
          <w:rFonts w:asciiTheme="majorHAnsi" w:hAnsiTheme="majorHAnsi"/>
          <w:color w:val="auto"/>
          <w:sz w:val="20"/>
          <w:szCs w:val="20"/>
          <w:lang w:val="es-CO"/>
        </w:rPr>
        <w:t xml:space="preserve"> resolución </w:t>
      </w:r>
      <w:r w:rsidR="008138B7" w:rsidRPr="008A015D">
        <w:rPr>
          <w:rFonts w:asciiTheme="majorHAnsi" w:hAnsiTheme="majorHAnsi"/>
          <w:color w:val="auto"/>
          <w:sz w:val="20"/>
          <w:szCs w:val="20"/>
          <w:lang w:val="es-CO"/>
        </w:rPr>
        <w:t xml:space="preserve">a través de la cual </w:t>
      </w:r>
      <w:r w:rsidRPr="008A015D">
        <w:rPr>
          <w:rFonts w:asciiTheme="majorHAnsi" w:hAnsiTheme="majorHAnsi"/>
          <w:color w:val="auto"/>
          <w:sz w:val="20"/>
          <w:szCs w:val="20"/>
          <w:lang w:val="es-CO"/>
        </w:rPr>
        <w:t>el C</w:t>
      </w:r>
      <w:r w:rsidR="00D24EE1">
        <w:rPr>
          <w:rFonts w:asciiTheme="majorHAnsi" w:hAnsiTheme="majorHAnsi"/>
          <w:color w:val="auto"/>
          <w:sz w:val="20"/>
          <w:szCs w:val="20"/>
          <w:lang w:val="es-CO"/>
        </w:rPr>
        <w:t>NM</w:t>
      </w:r>
      <w:r w:rsidRPr="008A015D">
        <w:rPr>
          <w:rFonts w:asciiTheme="majorHAnsi" w:hAnsiTheme="majorHAnsi"/>
          <w:color w:val="auto"/>
          <w:sz w:val="20"/>
          <w:szCs w:val="20"/>
          <w:lang w:val="es-CO"/>
        </w:rPr>
        <w:t xml:space="preserve"> convocó a la señora Marta Silvana Rodríguez Ricse al proceso de evaluación y ratificación</w:t>
      </w:r>
      <w:r w:rsidRPr="008A015D">
        <w:rPr>
          <w:rStyle w:val="FootnoteReference"/>
          <w:rFonts w:asciiTheme="majorHAnsi" w:hAnsiTheme="majorHAnsi"/>
          <w:color w:val="auto"/>
          <w:sz w:val="20"/>
          <w:szCs w:val="20"/>
          <w:lang w:val="es-ES"/>
        </w:rPr>
        <w:footnoteReference w:id="47"/>
      </w:r>
      <w:r w:rsidR="00657B49" w:rsidRPr="008A015D">
        <w:rPr>
          <w:rFonts w:asciiTheme="majorHAnsi" w:hAnsiTheme="majorHAnsi"/>
          <w:color w:val="auto"/>
          <w:sz w:val="20"/>
          <w:szCs w:val="20"/>
          <w:lang w:val="es-CO"/>
        </w:rPr>
        <w:t>.</w:t>
      </w:r>
      <w:r w:rsidRPr="008A015D">
        <w:rPr>
          <w:rFonts w:asciiTheme="majorHAnsi" w:hAnsiTheme="majorHAnsi"/>
          <w:color w:val="auto"/>
          <w:sz w:val="20"/>
          <w:szCs w:val="20"/>
          <w:lang w:val="es-CO"/>
        </w:rPr>
        <w:t xml:space="preserve"> </w:t>
      </w:r>
      <w:r w:rsidR="00657B49" w:rsidRPr="008A015D">
        <w:rPr>
          <w:rFonts w:asciiTheme="majorHAnsi" w:hAnsiTheme="majorHAnsi"/>
          <w:color w:val="auto"/>
          <w:sz w:val="20"/>
          <w:szCs w:val="20"/>
          <w:lang w:val="es-CO"/>
        </w:rPr>
        <w:t>La peticionaria refirió, y el Estado no controvirtió, que no fue convocada a entrevista y nunca se le imputaron cargos</w:t>
      </w:r>
      <w:r w:rsidR="00657B49" w:rsidRPr="008A015D">
        <w:rPr>
          <w:rStyle w:val="FootnoteReference"/>
          <w:rFonts w:asciiTheme="majorHAnsi" w:hAnsiTheme="majorHAnsi"/>
          <w:color w:val="auto"/>
          <w:sz w:val="20"/>
          <w:szCs w:val="20"/>
          <w:lang w:val="es-ES"/>
        </w:rPr>
        <w:footnoteReference w:id="48"/>
      </w:r>
      <w:r w:rsidR="00657B49" w:rsidRPr="008A015D">
        <w:rPr>
          <w:rFonts w:asciiTheme="majorHAnsi" w:hAnsiTheme="majorHAnsi"/>
          <w:color w:val="auto"/>
          <w:sz w:val="20"/>
          <w:szCs w:val="20"/>
          <w:lang w:val="es-CO"/>
        </w:rPr>
        <w:t>.</w:t>
      </w:r>
    </w:p>
    <w:p w14:paraId="6B77BEAD" w14:textId="77777777" w:rsidR="0065706A" w:rsidRPr="00204906" w:rsidRDefault="0065706A" w:rsidP="00657B49">
      <w:pPr>
        <w:rPr>
          <w:rFonts w:asciiTheme="majorHAnsi" w:hAnsiTheme="majorHAnsi"/>
          <w:sz w:val="20"/>
          <w:szCs w:val="20"/>
        </w:rPr>
      </w:pPr>
    </w:p>
    <w:p w14:paraId="6BDAE2DD" w14:textId="77777777" w:rsidR="0065706A" w:rsidRDefault="0065706A" w:rsidP="00416F6B">
      <w:pPr>
        <w:pStyle w:val="ListParagraph"/>
        <w:numPr>
          <w:ilvl w:val="0"/>
          <w:numId w:val="55"/>
        </w:numPr>
        <w:ind w:left="0" w:firstLine="630"/>
        <w:jc w:val="both"/>
        <w:rPr>
          <w:rFonts w:asciiTheme="majorHAnsi" w:hAnsiTheme="majorHAnsi"/>
          <w:color w:val="auto"/>
          <w:sz w:val="20"/>
          <w:szCs w:val="20"/>
          <w:lang w:val="es-CO"/>
        </w:rPr>
      </w:pPr>
      <w:r w:rsidRPr="004264E1">
        <w:rPr>
          <w:rFonts w:asciiTheme="majorHAnsi" w:hAnsiTheme="majorHAnsi"/>
          <w:color w:val="auto"/>
          <w:sz w:val="20"/>
          <w:szCs w:val="20"/>
          <w:lang w:val="es-CO"/>
        </w:rPr>
        <w:t>El 13 de julio de 2001 el CNM emitió resolución determin</w:t>
      </w:r>
      <w:r w:rsidR="00EA0FA6">
        <w:rPr>
          <w:rFonts w:asciiTheme="majorHAnsi" w:hAnsiTheme="majorHAnsi"/>
          <w:color w:val="auto"/>
          <w:sz w:val="20"/>
          <w:szCs w:val="20"/>
          <w:lang w:val="es-CO"/>
        </w:rPr>
        <w:t>ando</w:t>
      </w:r>
      <w:r w:rsidRPr="004264E1">
        <w:rPr>
          <w:rFonts w:asciiTheme="majorHAnsi" w:hAnsiTheme="majorHAnsi"/>
          <w:color w:val="auto"/>
          <w:sz w:val="20"/>
          <w:szCs w:val="20"/>
          <w:lang w:val="es-CO"/>
        </w:rPr>
        <w:t xml:space="preserve"> la no ratificación de la presunta víctima y la cancelación de su nombramiento como </w:t>
      </w:r>
      <w:r w:rsidR="003F31D5" w:rsidRPr="004264E1">
        <w:rPr>
          <w:rFonts w:asciiTheme="majorHAnsi" w:hAnsiTheme="majorHAnsi"/>
          <w:color w:val="auto"/>
          <w:sz w:val="20"/>
          <w:szCs w:val="20"/>
          <w:lang w:val="es-CO"/>
        </w:rPr>
        <w:t>Fiscal Adjunto Provincial del Distrito Judicial de Junín</w:t>
      </w:r>
      <w:r w:rsidRPr="004264E1">
        <w:rPr>
          <w:rStyle w:val="FootnoteReference"/>
          <w:rFonts w:asciiTheme="majorHAnsi" w:hAnsiTheme="majorHAnsi"/>
          <w:color w:val="auto"/>
          <w:sz w:val="20"/>
          <w:szCs w:val="20"/>
          <w:lang w:val="es-CO"/>
        </w:rPr>
        <w:footnoteReference w:id="49"/>
      </w:r>
      <w:r w:rsidRPr="004264E1">
        <w:rPr>
          <w:rFonts w:asciiTheme="majorHAnsi" w:hAnsiTheme="majorHAnsi"/>
          <w:color w:val="auto"/>
          <w:sz w:val="20"/>
          <w:szCs w:val="20"/>
          <w:lang w:val="es-CO"/>
        </w:rPr>
        <w:t>.</w:t>
      </w:r>
      <w:r w:rsidR="000415D6">
        <w:rPr>
          <w:rFonts w:asciiTheme="majorHAnsi" w:hAnsiTheme="majorHAnsi"/>
          <w:color w:val="auto"/>
          <w:sz w:val="20"/>
          <w:szCs w:val="20"/>
          <w:lang w:val="es-CO"/>
        </w:rPr>
        <w:t xml:space="preserve"> </w:t>
      </w:r>
      <w:r w:rsidR="00D96CB5">
        <w:rPr>
          <w:rFonts w:asciiTheme="majorHAnsi" w:hAnsiTheme="majorHAnsi"/>
          <w:color w:val="auto"/>
          <w:sz w:val="20"/>
          <w:szCs w:val="20"/>
          <w:lang w:val="es-CO"/>
        </w:rPr>
        <w:t>L</w:t>
      </w:r>
      <w:r w:rsidRPr="004264E1">
        <w:rPr>
          <w:rFonts w:asciiTheme="majorHAnsi" w:hAnsiTheme="majorHAnsi"/>
          <w:color w:val="auto"/>
          <w:sz w:val="20"/>
          <w:szCs w:val="20"/>
          <w:lang w:val="es-CO"/>
        </w:rPr>
        <w:t>a decisión no</w:t>
      </w:r>
      <w:r w:rsidR="00D96CB5">
        <w:rPr>
          <w:rFonts w:asciiTheme="majorHAnsi" w:hAnsiTheme="majorHAnsi"/>
          <w:color w:val="auto"/>
          <w:sz w:val="20"/>
          <w:szCs w:val="20"/>
          <w:lang w:val="es-CO"/>
        </w:rPr>
        <w:t xml:space="preserve"> cuenta con mayor motivación</w:t>
      </w:r>
      <w:r w:rsidRPr="004264E1">
        <w:rPr>
          <w:rFonts w:asciiTheme="majorHAnsi" w:hAnsiTheme="majorHAnsi"/>
          <w:color w:val="auto"/>
          <w:sz w:val="20"/>
          <w:szCs w:val="20"/>
          <w:lang w:val="es-CO"/>
        </w:rPr>
        <w:t xml:space="preserve">. </w:t>
      </w:r>
    </w:p>
    <w:p w14:paraId="473E2767" w14:textId="77777777" w:rsidR="00AC6652" w:rsidRPr="00AC6652" w:rsidRDefault="00AC6652" w:rsidP="00AC6652">
      <w:pPr>
        <w:jc w:val="both"/>
        <w:rPr>
          <w:rFonts w:asciiTheme="majorHAnsi" w:hAnsiTheme="majorHAnsi"/>
          <w:sz w:val="20"/>
          <w:szCs w:val="20"/>
        </w:rPr>
      </w:pPr>
    </w:p>
    <w:p w14:paraId="367A82A5" w14:textId="77777777" w:rsidR="0065706A" w:rsidRPr="004F47D1" w:rsidRDefault="0065706A" w:rsidP="0065706A">
      <w:pPr>
        <w:pStyle w:val="ListParagraph"/>
        <w:numPr>
          <w:ilvl w:val="0"/>
          <w:numId w:val="55"/>
        </w:numPr>
        <w:ind w:left="0" w:firstLine="630"/>
        <w:jc w:val="both"/>
        <w:rPr>
          <w:rFonts w:asciiTheme="majorHAnsi" w:hAnsiTheme="majorHAnsi"/>
          <w:color w:val="auto"/>
          <w:sz w:val="20"/>
          <w:szCs w:val="20"/>
          <w:lang w:val="es-CO"/>
        </w:rPr>
      </w:pPr>
      <w:r w:rsidRPr="004F47D1">
        <w:rPr>
          <w:rFonts w:asciiTheme="majorHAnsi" w:hAnsiTheme="majorHAnsi"/>
          <w:color w:val="auto"/>
          <w:sz w:val="20"/>
          <w:szCs w:val="20"/>
          <w:lang w:val="es-CO"/>
        </w:rPr>
        <w:t>El 11 de diciembre de 2001 la presunta víctima interpuso una acción de amparo en contra de la decisión de no ratificación</w:t>
      </w:r>
      <w:r w:rsidR="002C3E02" w:rsidRPr="004F47D1">
        <w:rPr>
          <w:rStyle w:val="FootnoteReference"/>
          <w:rFonts w:asciiTheme="majorHAnsi" w:hAnsiTheme="majorHAnsi"/>
          <w:color w:val="auto"/>
          <w:sz w:val="20"/>
          <w:szCs w:val="20"/>
          <w:lang w:val="es-CO"/>
        </w:rPr>
        <w:footnoteReference w:id="50"/>
      </w:r>
      <w:r w:rsidR="00657B49" w:rsidRPr="004F47D1">
        <w:rPr>
          <w:rFonts w:asciiTheme="majorHAnsi" w:hAnsiTheme="majorHAnsi"/>
          <w:color w:val="auto"/>
          <w:sz w:val="20"/>
          <w:szCs w:val="20"/>
          <w:lang w:val="es-CO"/>
        </w:rPr>
        <w:t>.</w:t>
      </w:r>
      <w:r w:rsidRPr="004F47D1">
        <w:rPr>
          <w:rFonts w:asciiTheme="majorHAnsi" w:hAnsiTheme="majorHAnsi"/>
          <w:color w:val="auto"/>
          <w:sz w:val="20"/>
          <w:szCs w:val="20"/>
          <w:lang w:val="es-CO"/>
        </w:rPr>
        <w:t xml:space="preserve"> </w:t>
      </w:r>
    </w:p>
    <w:p w14:paraId="14F2C0D2" w14:textId="77777777" w:rsidR="0065706A" w:rsidRPr="00234D25" w:rsidRDefault="0065706A" w:rsidP="0065706A">
      <w:pPr>
        <w:pStyle w:val="ListParagraph"/>
        <w:rPr>
          <w:rFonts w:asciiTheme="majorHAnsi" w:hAnsiTheme="majorHAnsi"/>
          <w:color w:val="auto"/>
          <w:sz w:val="20"/>
          <w:szCs w:val="20"/>
          <w:highlight w:val="yellow"/>
          <w:lang w:val="es-CO"/>
        </w:rPr>
      </w:pPr>
    </w:p>
    <w:p w14:paraId="3FDBF9B4" w14:textId="77777777" w:rsidR="0065706A" w:rsidRPr="00CD0A95" w:rsidRDefault="0065706A" w:rsidP="0065706A">
      <w:pPr>
        <w:pStyle w:val="ListParagraph"/>
        <w:numPr>
          <w:ilvl w:val="0"/>
          <w:numId w:val="55"/>
        </w:numPr>
        <w:ind w:left="0" w:firstLine="630"/>
        <w:jc w:val="both"/>
        <w:rPr>
          <w:lang w:val="es-VE"/>
        </w:rPr>
      </w:pPr>
      <w:r>
        <w:rPr>
          <w:rFonts w:asciiTheme="majorHAnsi" w:hAnsiTheme="majorHAnsi"/>
          <w:color w:val="auto"/>
          <w:sz w:val="20"/>
          <w:szCs w:val="20"/>
          <w:lang w:val="es-CO"/>
        </w:rPr>
        <w:t xml:space="preserve">El 18 de diciembre de </w:t>
      </w:r>
      <w:r w:rsidRPr="004F47D1">
        <w:rPr>
          <w:rFonts w:asciiTheme="majorHAnsi" w:hAnsiTheme="majorHAnsi"/>
          <w:color w:val="auto"/>
          <w:sz w:val="20"/>
          <w:szCs w:val="20"/>
          <w:lang w:val="es-CO"/>
        </w:rPr>
        <w:t>2006 el Juzgado Mixto de Puente Piedra, Santa Rosa y Ancón declaró improcedente la demanda de amparo por considerar que</w:t>
      </w:r>
      <w:r w:rsidR="002C3E02" w:rsidRPr="004F47D1">
        <w:rPr>
          <w:rFonts w:asciiTheme="majorHAnsi" w:hAnsiTheme="majorHAnsi"/>
          <w:color w:val="auto"/>
          <w:sz w:val="20"/>
          <w:szCs w:val="20"/>
          <w:lang w:val="es-CO"/>
        </w:rPr>
        <w:t>: “son improcedentes las demandas constitucionales, que tiendan a cuestionar las resoluciones definitivas del Consejo Nacional de la Magistratura en materia de destitución y ratificación de jueces y fiscales, siempre que dichas resoluciones hayan sido motivadas y con audiencia previa del interesado”</w:t>
      </w:r>
      <w:r w:rsidRPr="004F47D1">
        <w:rPr>
          <w:rStyle w:val="FootnoteReference"/>
          <w:rFonts w:asciiTheme="majorHAnsi" w:hAnsiTheme="majorHAnsi"/>
          <w:color w:val="auto"/>
          <w:sz w:val="20"/>
          <w:szCs w:val="20"/>
          <w:lang w:val="es-CO"/>
        </w:rPr>
        <w:footnoteReference w:id="51"/>
      </w:r>
      <w:r w:rsidRPr="004F47D1">
        <w:rPr>
          <w:rFonts w:asciiTheme="majorHAnsi" w:hAnsiTheme="majorHAnsi"/>
          <w:color w:val="auto"/>
          <w:sz w:val="20"/>
          <w:szCs w:val="20"/>
          <w:lang w:val="es-CO"/>
        </w:rPr>
        <w:t>.</w:t>
      </w:r>
      <w:r w:rsidR="00906775">
        <w:rPr>
          <w:rFonts w:asciiTheme="majorHAnsi" w:hAnsiTheme="majorHAnsi"/>
          <w:color w:val="auto"/>
          <w:sz w:val="20"/>
          <w:szCs w:val="20"/>
          <w:lang w:val="es-CO"/>
        </w:rPr>
        <w:t xml:space="preserve"> </w:t>
      </w:r>
      <w:r w:rsidR="001B62F3">
        <w:rPr>
          <w:rFonts w:asciiTheme="majorHAnsi" w:hAnsiTheme="majorHAnsi"/>
          <w:color w:val="auto"/>
          <w:sz w:val="20"/>
          <w:szCs w:val="20"/>
          <w:lang w:val="es-CO"/>
        </w:rPr>
        <w:t>L</w:t>
      </w:r>
      <w:r w:rsidR="00906775" w:rsidRPr="004F47D1">
        <w:rPr>
          <w:rFonts w:asciiTheme="majorHAnsi" w:hAnsiTheme="majorHAnsi"/>
          <w:color w:val="auto"/>
          <w:sz w:val="20"/>
          <w:szCs w:val="20"/>
          <w:lang w:val="es-CO"/>
        </w:rPr>
        <w:t>a presunta víctima interpuso recurso de apelación argumentando que “no fue convocada a una audiencia previa, no le hicieron cargo alguno del cual pudiera defenderse” y, además, señalando que “en su trayectoria profesional siempre se ha desempeñado con rectitud y respetando las normas legales y constitucionales al resolver los procesos que ha conocido”, además recalcó que el Estado reconoció en un acuerdo de solución amistosa suscrito por el Ministerio de Justicia que “en los procesos de ratificación se ha incurrido en graves irregularidades”</w:t>
      </w:r>
      <w:r w:rsidR="00906775" w:rsidRPr="004F47D1">
        <w:rPr>
          <w:rStyle w:val="FootnoteReference"/>
          <w:rFonts w:asciiTheme="majorHAnsi" w:hAnsiTheme="majorHAnsi"/>
          <w:color w:val="auto"/>
          <w:sz w:val="20"/>
          <w:szCs w:val="20"/>
          <w:lang w:val="es-CO"/>
        </w:rPr>
        <w:footnoteReference w:id="52"/>
      </w:r>
      <w:r w:rsidR="00906775" w:rsidRPr="004F47D1">
        <w:rPr>
          <w:rFonts w:asciiTheme="majorHAnsi" w:hAnsiTheme="majorHAnsi"/>
          <w:color w:val="auto"/>
          <w:sz w:val="20"/>
          <w:szCs w:val="20"/>
          <w:lang w:val="es-CO"/>
        </w:rPr>
        <w:t>.</w:t>
      </w:r>
    </w:p>
    <w:p w14:paraId="750737D1" w14:textId="77777777" w:rsidR="0065706A" w:rsidRPr="000415D6" w:rsidRDefault="0065706A" w:rsidP="000415D6">
      <w:pPr>
        <w:jc w:val="both"/>
        <w:rPr>
          <w:rFonts w:asciiTheme="majorHAnsi" w:hAnsiTheme="majorHAnsi"/>
          <w:sz w:val="20"/>
          <w:szCs w:val="20"/>
        </w:rPr>
      </w:pPr>
    </w:p>
    <w:p w14:paraId="30F54D6E" w14:textId="77777777" w:rsidR="0065706A" w:rsidRPr="00F8718D" w:rsidRDefault="0065706A" w:rsidP="00F8718D">
      <w:pPr>
        <w:pStyle w:val="ListParagraph"/>
        <w:numPr>
          <w:ilvl w:val="0"/>
          <w:numId w:val="55"/>
        </w:numPr>
        <w:ind w:left="0" w:firstLine="630"/>
        <w:jc w:val="both"/>
        <w:rPr>
          <w:rFonts w:asciiTheme="majorHAnsi" w:hAnsiTheme="majorHAnsi"/>
          <w:color w:val="auto"/>
          <w:sz w:val="20"/>
          <w:szCs w:val="20"/>
          <w:lang w:val="es-CO"/>
        </w:rPr>
      </w:pPr>
      <w:r>
        <w:rPr>
          <w:rFonts w:asciiTheme="majorHAnsi" w:hAnsiTheme="majorHAnsi"/>
          <w:color w:val="auto"/>
          <w:sz w:val="20"/>
          <w:szCs w:val="20"/>
          <w:lang w:val="es-CO"/>
        </w:rPr>
        <w:t>El 22 de junio de 2007 la Primera Sala Especializada Civil declaró sin lugar el recurso de apelación</w:t>
      </w:r>
      <w:r w:rsidR="00131133">
        <w:rPr>
          <w:rFonts w:asciiTheme="majorHAnsi" w:hAnsiTheme="majorHAnsi"/>
          <w:color w:val="auto"/>
          <w:sz w:val="20"/>
          <w:szCs w:val="20"/>
          <w:lang w:val="es-CO"/>
        </w:rPr>
        <w:t xml:space="preserve"> </w:t>
      </w:r>
      <w:r>
        <w:rPr>
          <w:rFonts w:asciiTheme="majorHAnsi" w:hAnsiTheme="majorHAnsi"/>
          <w:color w:val="auto"/>
          <w:sz w:val="20"/>
          <w:szCs w:val="20"/>
          <w:lang w:val="es-CO"/>
        </w:rPr>
        <w:t xml:space="preserve">argumentando </w:t>
      </w:r>
      <w:r w:rsidR="00131133">
        <w:rPr>
          <w:rFonts w:asciiTheme="majorHAnsi" w:hAnsiTheme="majorHAnsi"/>
          <w:color w:val="auto"/>
          <w:sz w:val="20"/>
          <w:szCs w:val="20"/>
          <w:lang w:val="es-CO"/>
        </w:rPr>
        <w:t>la extemporaneidad de la demanda de amparo</w:t>
      </w:r>
      <w:r w:rsidR="00E30353">
        <w:rPr>
          <w:rStyle w:val="FootnoteReference"/>
          <w:rFonts w:asciiTheme="majorHAnsi" w:hAnsiTheme="majorHAnsi"/>
          <w:sz w:val="20"/>
          <w:szCs w:val="20"/>
        </w:rPr>
        <w:footnoteReference w:id="53"/>
      </w:r>
      <w:r w:rsidR="006552F0" w:rsidRPr="00064450">
        <w:rPr>
          <w:rFonts w:asciiTheme="majorHAnsi" w:hAnsiTheme="majorHAnsi"/>
          <w:sz w:val="20"/>
          <w:szCs w:val="20"/>
          <w:lang w:val="es-CO"/>
        </w:rPr>
        <w:t>.</w:t>
      </w:r>
    </w:p>
    <w:p w14:paraId="4DA83C38" w14:textId="77777777" w:rsidR="0065706A" w:rsidRPr="00953459" w:rsidRDefault="0065706A" w:rsidP="0065706A">
      <w:pPr>
        <w:pStyle w:val="ListParagraph"/>
        <w:rPr>
          <w:rFonts w:asciiTheme="majorHAnsi" w:hAnsiTheme="majorHAnsi"/>
          <w:color w:val="auto"/>
          <w:sz w:val="20"/>
          <w:szCs w:val="20"/>
          <w:lang w:val="es-CO"/>
        </w:rPr>
      </w:pPr>
    </w:p>
    <w:p w14:paraId="4A1B0038" w14:textId="77777777" w:rsidR="006552F0" w:rsidRPr="00704BE8" w:rsidRDefault="006552F0" w:rsidP="00704BE8">
      <w:pPr>
        <w:pStyle w:val="ListParagraph"/>
        <w:numPr>
          <w:ilvl w:val="0"/>
          <w:numId w:val="55"/>
        </w:numPr>
        <w:ind w:left="0" w:firstLine="630"/>
        <w:jc w:val="both"/>
        <w:rPr>
          <w:rFonts w:asciiTheme="majorHAnsi" w:hAnsiTheme="majorHAnsi"/>
          <w:color w:val="auto"/>
          <w:sz w:val="20"/>
          <w:szCs w:val="20"/>
          <w:lang w:val="es-CO"/>
        </w:rPr>
      </w:pPr>
      <w:r>
        <w:rPr>
          <w:rFonts w:asciiTheme="majorHAnsi" w:hAnsiTheme="majorHAnsi"/>
          <w:color w:val="auto"/>
          <w:sz w:val="20"/>
          <w:szCs w:val="20"/>
          <w:lang w:val="es-CO"/>
        </w:rPr>
        <w:t>L</w:t>
      </w:r>
      <w:r w:rsidR="0065706A" w:rsidRPr="00953459">
        <w:rPr>
          <w:rFonts w:asciiTheme="majorHAnsi" w:hAnsiTheme="majorHAnsi"/>
          <w:color w:val="auto"/>
          <w:sz w:val="20"/>
          <w:szCs w:val="20"/>
          <w:lang w:val="es-CO"/>
        </w:rPr>
        <w:t xml:space="preserve">a presunta víctima presentó un recurso </w:t>
      </w:r>
      <w:r w:rsidR="00F31D47">
        <w:rPr>
          <w:rFonts w:asciiTheme="majorHAnsi" w:hAnsiTheme="majorHAnsi"/>
          <w:color w:val="auto"/>
          <w:sz w:val="20"/>
          <w:szCs w:val="20"/>
          <w:lang w:val="es-CO"/>
        </w:rPr>
        <w:t>de agravio constitucional</w:t>
      </w:r>
      <w:r w:rsidR="0065706A" w:rsidRPr="00953459">
        <w:rPr>
          <w:rFonts w:asciiTheme="majorHAnsi" w:hAnsiTheme="majorHAnsi"/>
          <w:color w:val="auto"/>
          <w:sz w:val="20"/>
          <w:szCs w:val="20"/>
          <w:lang w:val="es-CO"/>
        </w:rPr>
        <w:t xml:space="preserve"> contra la decisión anterior ante el Tribunal Constitucional</w:t>
      </w:r>
      <w:r>
        <w:rPr>
          <w:rStyle w:val="FootnoteReference"/>
          <w:rFonts w:asciiTheme="majorHAnsi" w:hAnsiTheme="majorHAnsi"/>
          <w:color w:val="auto"/>
          <w:sz w:val="20"/>
          <w:szCs w:val="20"/>
          <w:lang w:val="es-CO"/>
        </w:rPr>
        <w:footnoteReference w:id="54"/>
      </w:r>
      <w:r>
        <w:rPr>
          <w:rFonts w:asciiTheme="majorHAnsi" w:hAnsiTheme="majorHAnsi"/>
          <w:color w:val="auto"/>
          <w:sz w:val="20"/>
          <w:szCs w:val="20"/>
          <w:lang w:val="es-CO"/>
        </w:rPr>
        <w:t>.</w:t>
      </w:r>
      <w:r w:rsidR="0065706A" w:rsidRPr="00953459">
        <w:rPr>
          <w:rFonts w:asciiTheme="majorHAnsi" w:hAnsiTheme="majorHAnsi"/>
          <w:color w:val="auto"/>
          <w:sz w:val="20"/>
          <w:szCs w:val="20"/>
          <w:lang w:val="es-CO"/>
        </w:rPr>
        <w:t xml:space="preserve"> </w:t>
      </w:r>
      <w:r w:rsidR="0065706A" w:rsidRPr="00D97754">
        <w:rPr>
          <w:rFonts w:asciiTheme="majorHAnsi" w:hAnsiTheme="majorHAnsi"/>
          <w:sz w:val="20"/>
          <w:szCs w:val="20"/>
          <w:lang w:val="es-CO"/>
        </w:rPr>
        <w:t>El 20 de diciembre de 2007 el Tribunal Constitucional dec</w:t>
      </w:r>
      <w:r w:rsidR="00F31D47" w:rsidRPr="00D97754">
        <w:rPr>
          <w:rFonts w:asciiTheme="majorHAnsi" w:hAnsiTheme="majorHAnsi"/>
          <w:sz w:val="20"/>
          <w:szCs w:val="20"/>
          <w:lang w:val="es-CO"/>
        </w:rPr>
        <w:t xml:space="preserve">laró sin lugar el recurso de agravio constitucional </w:t>
      </w:r>
      <w:r w:rsidR="0065706A" w:rsidRPr="00D97754">
        <w:rPr>
          <w:rFonts w:asciiTheme="majorHAnsi" w:hAnsiTheme="majorHAnsi"/>
          <w:sz w:val="20"/>
          <w:szCs w:val="20"/>
          <w:lang w:val="es-CO"/>
        </w:rPr>
        <w:t xml:space="preserve">indicando </w:t>
      </w:r>
      <w:r w:rsidR="00D97754">
        <w:rPr>
          <w:rFonts w:asciiTheme="majorHAnsi" w:hAnsiTheme="majorHAnsi"/>
          <w:sz w:val="20"/>
          <w:szCs w:val="20"/>
          <w:lang w:val="es-CO"/>
        </w:rPr>
        <w:t>la extemporan</w:t>
      </w:r>
      <w:r w:rsidR="00704BE8">
        <w:rPr>
          <w:rFonts w:asciiTheme="majorHAnsi" w:hAnsiTheme="majorHAnsi"/>
          <w:sz w:val="20"/>
          <w:szCs w:val="20"/>
          <w:lang w:val="es-CO"/>
        </w:rPr>
        <w:t>eidad de</w:t>
      </w:r>
      <w:r w:rsidR="00D97754">
        <w:rPr>
          <w:rFonts w:asciiTheme="majorHAnsi" w:hAnsiTheme="majorHAnsi"/>
          <w:sz w:val="20"/>
          <w:szCs w:val="20"/>
          <w:lang w:val="es-CO"/>
        </w:rPr>
        <w:t xml:space="preserve"> la acción y que no se acreditó el carácter cont</w:t>
      </w:r>
      <w:r w:rsidR="00F443F9">
        <w:rPr>
          <w:rFonts w:asciiTheme="majorHAnsi" w:hAnsiTheme="majorHAnsi"/>
          <w:sz w:val="20"/>
          <w:szCs w:val="20"/>
          <w:lang w:val="es-CO"/>
        </w:rPr>
        <w:t>i</w:t>
      </w:r>
      <w:r w:rsidR="00D97754">
        <w:rPr>
          <w:rFonts w:asciiTheme="majorHAnsi" w:hAnsiTheme="majorHAnsi"/>
          <w:sz w:val="20"/>
          <w:szCs w:val="20"/>
          <w:lang w:val="es-CO"/>
        </w:rPr>
        <w:t>nuo de la afectación</w:t>
      </w:r>
      <w:r>
        <w:rPr>
          <w:rStyle w:val="FootnoteReference"/>
          <w:rFonts w:asciiTheme="majorHAnsi" w:hAnsiTheme="majorHAnsi"/>
          <w:color w:val="auto"/>
          <w:sz w:val="20"/>
          <w:szCs w:val="20"/>
          <w:lang w:val="es-CO"/>
        </w:rPr>
        <w:footnoteReference w:id="55"/>
      </w:r>
      <w:r w:rsidR="00D97754">
        <w:rPr>
          <w:rFonts w:asciiTheme="majorHAnsi" w:hAnsiTheme="majorHAnsi"/>
          <w:sz w:val="20"/>
          <w:szCs w:val="20"/>
          <w:lang w:val="es-CO"/>
        </w:rPr>
        <w:t>.</w:t>
      </w:r>
    </w:p>
    <w:p w14:paraId="08E42FF3" w14:textId="77777777" w:rsidR="00AC6652" w:rsidRPr="00E81E99" w:rsidRDefault="00AC6652" w:rsidP="00E81E99">
      <w:pPr>
        <w:ind w:right="720"/>
        <w:jc w:val="both"/>
        <w:rPr>
          <w:rFonts w:asciiTheme="majorHAnsi" w:hAnsiTheme="majorHAnsi"/>
          <w:sz w:val="20"/>
          <w:szCs w:val="20"/>
        </w:rPr>
      </w:pPr>
    </w:p>
    <w:p w14:paraId="35103B52" w14:textId="77777777" w:rsidR="00C868D0" w:rsidRDefault="00D12193" w:rsidP="00C868D0">
      <w:pPr>
        <w:pStyle w:val="Heading1"/>
        <w:spacing w:before="0"/>
        <w:ind w:firstLine="0"/>
        <w:rPr>
          <w:color w:val="auto"/>
          <w:sz w:val="20"/>
          <w:szCs w:val="20"/>
          <w:lang w:val="es-ES_tradnl"/>
        </w:rPr>
      </w:pPr>
      <w:bookmarkStart w:id="12" w:name="_Toc527450126"/>
      <w:r w:rsidRPr="00776B4C">
        <w:rPr>
          <w:color w:val="auto"/>
          <w:sz w:val="20"/>
          <w:szCs w:val="20"/>
          <w:lang w:val="es-ES_tradnl"/>
        </w:rPr>
        <w:t>ANÁLISIS DE DERECHO</w:t>
      </w:r>
      <w:bookmarkStart w:id="13" w:name="_Toc521483540"/>
      <w:bookmarkEnd w:id="12"/>
    </w:p>
    <w:p w14:paraId="4AC07B8D" w14:textId="77777777" w:rsidR="00C868D0" w:rsidRPr="00C868D0" w:rsidRDefault="00C868D0" w:rsidP="00C868D0">
      <w:pPr>
        <w:rPr>
          <w:lang w:val="es-ES_tradnl"/>
        </w:rPr>
      </w:pPr>
    </w:p>
    <w:p w14:paraId="5550A3FE" w14:textId="77777777" w:rsidR="006F2A97" w:rsidRPr="006F2A97" w:rsidRDefault="006F2A97" w:rsidP="003E17D7">
      <w:pPr>
        <w:pStyle w:val="Heading2"/>
        <w:numPr>
          <w:ilvl w:val="0"/>
          <w:numId w:val="60"/>
        </w:numPr>
        <w:spacing w:before="0" w:after="0"/>
        <w:ind w:left="1440" w:hanging="720"/>
        <w:jc w:val="both"/>
        <w:rPr>
          <w:rFonts w:asciiTheme="majorHAnsi" w:hAnsiTheme="majorHAnsi"/>
          <w:i w:val="0"/>
          <w:sz w:val="20"/>
          <w:szCs w:val="20"/>
          <w:lang w:val="es-ES_tradnl"/>
        </w:rPr>
      </w:pPr>
      <w:bookmarkStart w:id="14" w:name="_Toc527450127"/>
      <w:r w:rsidRPr="0067279B">
        <w:rPr>
          <w:rFonts w:asciiTheme="majorHAnsi" w:hAnsiTheme="majorHAnsi"/>
          <w:i w:val="0"/>
          <w:sz w:val="20"/>
          <w:szCs w:val="20"/>
          <w:lang w:val="es-ES_tradnl"/>
        </w:rPr>
        <w:t>Consideraciones generales sobre las garantías aplicables</w:t>
      </w:r>
      <w:r>
        <w:rPr>
          <w:rFonts w:asciiTheme="majorHAnsi" w:hAnsiTheme="majorHAnsi"/>
          <w:i w:val="0"/>
          <w:sz w:val="20"/>
          <w:szCs w:val="20"/>
          <w:lang w:val="es-ES_tradnl"/>
        </w:rPr>
        <w:t xml:space="preserve"> en procesos sancionatorios y de determinación de derechos</w:t>
      </w:r>
      <w:bookmarkEnd w:id="13"/>
      <w:bookmarkEnd w:id="14"/>
    </w:p>
    <w:p w14:paraId="11B023F6" w14:textId="77777777" w:rsidR="006F2A97" w:rsidRPr="0082190A" w:rsidRDefault="006F2A97" w:rsidP="00802589">
      <w:pPr>
        <w:rPr>
          <w:lang w:val="es-VE"/>
        </w:rPr>
      </w:pPr>
    </w:p>
    <w:p w14:paraId="2D60624B" w14:textId="77777777" w:rsidR="006F2A97" w:rsidRDefault="006F2A97" w:rsidP="006F2A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eastAsia="es-ES"/>
        </w:rPr>
      </w:pPr>
      <w:r w:rsidRPr="00D276E7">
        <w:rPr>
          <w:rFonts w:ascii="Cambria" w:hAnsi="Cambria"/>
          <w:sz w:val="20"/>
          <w:szCs w:val="20"/>
        </w:rPr>
        <w:t>La Comisión recuerda que ambos órganos del sistema interamericano han indicado que las garantías establecidas en el artículo 8 de la Convención Americana, no se limitan a procesos penales</w:t>
      </w:r>
      <w:r w:rsidRPr="00D276E7">
        <w:rPr>
          <w:rFonts w:ascii="Cambria" w:hAnsi="Cambria"/>
          <w:sz w:val="20"/>
          <w:szCs w:val="20"/>
          <w:lang w:val="es-ES" w:eastAsia="es-ES"/>
        </w:rPr>
        <w:t>, sino que aplican a procesos de otra naturaleza</w:t>
      </w:r>
      <w:r w:rsidRPr="00D276E7">
        <w:rPr>
          <w:rFonts w:ascii="Cambria" w:hAnsi="Cambria"/>
          <w:sz w:val="20"/>
          <w:szCs w:val="20"/>
          <w:vertAlign w:val="superscript"/>
          <w:lang w:eastAsia="es-ES"/>
        </w:rPr>
        <w:footnoteReference w:id="56"/>
      </w:r>
      <w:r w:rsidRPr="00D276E7">
        <w:rPr>
          <w:rFonts w:ascii="Cambria" w:hAnsi="Cambria"/>
          <w:sz w:val="20"/>
          <w:szCs w:val="20"/>
          <w:lang w:val="es-ES" w:eastAsia="es-ES"/>
        </w:rPr>
        <w:t>.</w:t>
      </w:r>
      <w:r>
        <w:rPr>
          <w:rFonts w:ascii="Cambria" w:hAnsi="Cambria"/>
          <w:sz w:val="20"/>
          <w:szCs w:val="20"/>
          <w:lang w:val="es-ES" w:eastAsia="es-ES"/>
        </w:rPr>
        <w:t xml:space="preserve"> Específicamente, cuando se trata de procesos sancionatorios, ambos órganos del sistema han indicado que aplican, análogamente, las garantías establecidas en el artículo 8.2 de la Convención Americana</w:t>
      </w:r>
      <w:r w:rsidRPr="00D276E7">
        <w:rPr>
          <w:rFonts w:ascii="Cambria" w:hAnsi="Cambria"/>
          <w:sz w:val="20"/>
          <w:szCs w:val="20"/>
          <w:vertAlign w:val="superscript"/>
          <w:lang w:eastAsia="es-ES"/>
        </w:rPr>
        <w:footnoteReference w:id="57"/>
      </w:r>
      <w:r>
        <w:rPr>
          <w:rFonts w:ascii="Cambria" w:hAnsi="Cambria"/>
          <w:sz w:val="20"/>
          <w:szCs w:val="20"/>
          <w:lang w:val="es-ES" w:eastAsia="es-ES"/>
        </w:rPr>
        <w:t xml:space="preserve">. En procesos en los cuales se ventilan derechos o intereses, </w:t>
      </w:r>
      <w:r w:rsidRPr="00920EA0">
        <w:rPr>
          <w:rFonts w:ascii="Cambria" w:hAnsi="Cambria"/>
          <w:sz w:val="20"/>
          <w:szCs w:val="20"/>
          <w:lang w:val="es-ES" w:eastAsia="es-ES"/>
        </w:rPr>
        <w:t>resultan aplicables las “debidas garantías” establecidas en el artículo 8.1 de la Convención Americana, incluyendo el derecho a una motivación suficiente</w:t>
      </w:r>
      <w:r w:rsidRPr="008752B9">
        <w:rPr>
          <w:rStyle w:val="FootnoteReference"/>
          <w:rFonts w:ascii="Cambria" w:hAnsi="Cambria"/>
          <w:sz w:val="20"/>
          <w:szCs w:val="20"/>
          <w:lang w:val="es-ES"/>
        </w:rPr>
        <w:footnoteReference w:id="58"/>
      </w:r>
      <w:r w:rsidRPr="00920EA0">
        <w:rPr>
          <w:rFonts w:ascii="Cambria" w:hAnsi="Cambria"/>
          <w:sz w:val="20"/>
          <w:szCs w:val="20"/>
          <w:lang w:val="es-ES" w:eastAsia="es-ES"/>
        </w:rPr>
        <w:t xml:space="preserve">. </w:t>
      </w:r>
      <w:r>
        <w:rPr>
          <w:rFonts w:ascii="Cambria" w:hAnsi="Cambria"/>
          <w:sz w:val="20"/>
          <w:szCs w:val="20"/>
          <w:lang w:val="es-ES" w:eastAsia="es-ES"/>
        </w:rPr>
        <w:t>Asimismo, el Tribunal Europeo ha dispuesto que las garantías del debido proceso deben respetarse y garantizarse en el marco de procedimientos administrativos que concluyen en el despido de un servidor público</w:t>
      </w:r>
      <w:r>
        <w:rPr>
          <w:rStyle w:val="FootnoteReference"/>
          <w:rFonts w:ascii="Cambria" w:hAnsi="Cambria"/>
          <w:sz w:val="20"/>
          <w:szCs w:val="20"/>
          <w:lang w:val="es-ES" w:eastAsia="es-ES"/>
        </w:rPr>
        <w:footnoteReference w:id="59"/>
      </w:r>
      <w:r>
        <w:rPr>
          <w:rFonts w:ascii="Cambria" w:hAnsi="Cambria"/>
          <w:sz w:val="20"/>
          <w:szCs w:val="20"/>
          <w:lang w:val="es-ES" w:eastAsia="es-ES"/>
        </w:rPr>
        <w:t>.</w:t>
      </w:r>
    </w:p>
    <w:p w14:paraId="65A7AD7D" w14:textId="77777777" w:rsidR="006F2A97" w:rsidRDefault="006F2A97" w:rsidP="006F2A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eastAsia="es-ES"/>
        </w:rPr>
      </w:pPr>
    </w:p>
    <w:p w14:paraId="6CB770DF" w14:textId="77777777" w:rsidR="00AC551B" w:rsidRDefault="006F2A97"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eastAsia="es-ES"/>
        </w:rPr>
      </w:pPr>
      <w:r>
        <w:rPr>
          <w:rFonts w:ascii="Cambria" w:hAnsi="Cambria"/>
          <w:sz w:val="20"/>
          <w:szCs w:val="20"/>
          <w:lang w:val="es-ES" w:eastAsia="es-ES"/>
        </w:rPr>
        <w:t xml:space="preserve"> Conforme a lo anterior, </w:t>
      </w:r>
      <w:r w:rsidR="00E606C8" w:rsidRPr="00E606C8">
        <w:rPr>
          <w:rFonts w:ascii="Cambria" w:hAnsi="Cambria"/>
          <w:sz w:val="20"/>
          <w:szCs w:val="20"/>
          <w:lang w:val="es-ES" w:eastAsia="es-ES"/>
        </w:rPr>
        <w:t xml:space="preserve">para la determinación de cuáles son las garantías que el Estado tenía la obligación de otorgar en el caso concreto, resulta necesario hacer referencia al carácter del proceso en cuestión. </w:t>
      </w:r>
    </w:p>
    <w:p w14:paraId="5471FA65" w14:textId="77777777" w:rsidR="00AC551B" w:rsidRPr="00AC551B" w:rsidRDefault="00AC551B" w:rsidP="00AC5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eastAsia="es-ES"/>
        </w:rPr>
      </w:pPr>
    </w:p>
    <w:p w14:paraId="339FD760" w14:textId="77777777" w:rsidR="00AC551B" w:rsidRDefault="00AC551B"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eastAsia="es-ES"/>
        </w:rPr>
      </w:pPr>
      <w:r>
        <w:rPr>
          <w:rFonts w:ascii="Cambria" w:hAnsi="Cambria"/>
          <w:sz w:val="20"/>
          <w:szCs w:val="20"/>
          <w:lang w:val="es-ES" w:eastAsia="es-ES"/>
        </w:rPr>
        <w:t>En el presente caso, la CIDH recuerda que</w:t>
      </w:r>
      <w:r w:rsidRPr="00231A57">
        <w:rPr>
          <w:rFonts w:ascii="Cambria" w:hAnsi="Cambria"/>
          <w:sz w:val="20"/>
          <w:szCs w:val="20"/>
          <w:lang w:val="es-ES" w:eastAsia="es-ES"/>
        </w:rPr>
        <w:t xml:space="preserve"> las presuntas víctimas fueron separadas de sus cargos de jueces y fiscales como consecuencia del proceso de evaluación y ratificación regulado en el artículo 154, inciso 2, de la Constitución Política del Perú de 1993, el cual fue realizado después de que dichos magistrados cumplieran 7 años en el ejercicio de la función. </w:t>
      </w:r>
    </w:p>
    <w:p w14:paraId="161639D2" w14:textId="77777777" w:rsidR="00AC551B" w:rsidRDefault="00AC551B" w:rsidP="00AC5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eastAsia="es-ES"/>
        </w:rPr>
      </w:pPr>
    </w:p>
    <w:p w14:paraId="6DB4ECC0" w14:textId="77777777" w:rsidR="00AC551B" w:rsidRDefault="00AC551B"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eastAsia="es-ES"/>
        </w:rPr>
      </w:pPr>
      <w:r w:rsidRPr="00231A57">
        <w:rPr>
          <w:rFonts w:ascii="Cambria" w:hAnsi="Cambria"/>
          <w:sz w:val="20"/>
          <w:szCs w:val="20"/>
          <w:lang w:val="es-ES" w:eastAsia="es-ES"/>
        </w:rPr>
        <w:t>El proceso de evaluación y ratific</w:t>
      </w:r>
      <w:r>
        <w:rPr>
          <w:rFonts w:ascii="Cambria" w:hAnsi="Cambria"/>
          <w:sz w:val="20"/>
          <w:szCs w:val="20"/>
          <w:lang w:val="es-ES" w:eastAsia="es-ES"/>
        </w:rPr>
        <w:t>ación en la legislación peruana tenía por objeto evaluar la conducta e idoneidad de jueces y fisca</w:t>
      </w:r>
      <w:r w:rsidR="008F16BF">
        <w:rPr>
          <w:rFonts w:ascii="Cambria" w:hAnsi="Cambria"/>
          <w:sz w:val="20"/>
          <w:szCs w:val="20"/>
          <w:lang w:val="es-ES" w:eastAsia="es-ES"/>
        </w:rPr>
        <w:t xml:space="preserve">les en el desempeño del cargo. </w:t>
      </w:r>
      <w:r>
        <w:rPr>
          <w:rFonts w:ascii="Cambria" w:hAnsi="Cambria"/>
          <w:sz w:val="20"/>
          <w:szCs w:val="20"/>
          <w:lang w:val="es-ES" w:eastAsia="es-ES"/>
        </w:rPr>
        <w:t>Atendiendo a la naturaleza y efectos del procedimiento, y tomando en cuenta que el control disciplinario tiene esencialmente como objeto valorar la conducta, idoneidad y desempeño de un operador de justicia, la Comisión estima que se trató de procedimientos de carácter</w:t>
      </w:r>
      <w:r w:rsidR="000C5C7B">
        <w:rPr>
          <w:rFonts w:ascii="Cambria" w:hAnsi="Cambria"/>
          <w:sz w:val="20"/>
          <w:szCs w:val="20"/>
          <w:lang w:val="es-ES" w:eastAsia="es-ES"/>
        </w:rPr>
        <w:t xml:space="preserve"> materialmente</w:t>
      </w:r>
      <w:r>
        <w:rPr>
          <w:rFonts w:ascii="Cambria" w:hAnsi="Cambria"/>
          <w:sz w:val="20"/>
          <w:szCs w:val="20"/>
          <w:lang w:val="es-ES" w:eastAsia="es-ES"/>
        </w:rPr>
        <w:t xml:space="preserve"> sancionatorio y, por lo tanto, las garantías aplicables incluyen de manera análoga </w:t>
      </w:r>
      <w:r w:rsidR="00784995">
        <w:rPr>
          <w:rFonts w:ascii="Cambria" w:hAnsi="Cambria"/>
          <w:sz w:val="20"/>
          <w:szCs w:val="20"/>
          <w:lang w:val="es-ES" w:eastAsia="es-ES"/>
        </w:rPr>
        <w:t xml:space="preserve">y </w:t>
      </w:r>
      <w:r w:rsidR="00784995">
        <w:rPr>
          <w:rFonts w:ascii="Cambria" w:hAnsi="Cambria"/>
          <w:i/>
          <w:sz w:val="20"/>
          <w:szCs w:val="20"/>
          <w:lang w:val="es-ES" w:eastAsia="es-ES"/>
        </w:rPr>
        <w:t xml:space="preserve">mutatis mutandis </w:t>
      </w:r>
      <w:r>
        <w:rPr>
          <w:rFonts w:ascii="Cambria" w:hAnsi="Cambria"/>
          <w:sz w:val="20"/>
          <w:szCs w:val="20"/>
          <w:lang w:val="es-ES" w:eastAsia="es-ES"/>
        </w:rPr>
        <w:t>las</w:t>
      </w:r>
      <w:r w:rsidR="00784995">
        <w:rPr>
          <w:rFonts w:ascii="Cambria" w:hAnsi="Cambria"/>
          <w:sz w:val="20"/>
          <w:szCs w:val="20"/>
          <w:lang w:val="es-ES" w:eastAsia="es-ES"/>
        </w:rPr>
        <w:t xml:space="preserve"> relativas</w:t>
      </w:r>
      <w:r>
        <w:rPr>
          <w:rFonts w:ascii="Cambria" w:hAnsi="Cambria"/>
          <w:sz w:val="20"/>
          <w:szCs w:val="20"/>
          <w:lang w:val="es-ES" w:eastAsia="es-ES"/>
        </w:rPr>
        <w:t xml:space="preserve"> a un proceso penal. En particular, resultan relevantes para el análisis de este caso las garantías establecidas en los artículos 8.1, 8.2 y 9 de la Convención Americana. </w:t>
      </w:r>
    </w:p>
    <w:p w14:paraId="50EB7C2F" w14:textId="77777777" w:rsidR="00AC551B" w:rsidRPr="001E3078" w:rsidRDefault="00AC551B" w:rsidP="00AC5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7507E96B" w14:textId="77777777" w:rsidR="00AC551B" w:rsidRPr="008F0B5B" w:rsidRDefault="00AC551B"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1E3078">
        <w:rPr>
          <w:rFonts w:ascii="Cambria" w:hAnsi="Cambria"/>
          <w:sz w:val="20"/>
          <w:szCs w:val="20"/>
          <w:lang w:val="es-ES_tradnl"/>
        </w:rPr>
        <w:t xml:space="preserve">Además del carácter sancionatorio, resulta relevante formular algunas consideraciones generales sobre las garantías reforzadas en procesos de destitución de jueces y </w:t>
      </w:r>
      <w:r>
        <w:rPr>
          <w:rFonts w:ascii="Cambria" w:hAnsi="Cambria"/>
          <w:sz w:val="20"/>
          <w:szCs w:val="20"/>
          <w:lang w:val="es-ES_tradnl"/>
        </w:rPr>
        <w:t>fiscales</w:t>
      </w:r>
      <w:r w:rsidRPr="001E3078">
        <w:rPr>
          <w:rFonts w:ascii="Cambria" w:hAnsi="Cambria"/>
          <w:sz w:val="20"/>
          <w:szCs w:val="20"/>
          <w:lang w:val="es-ES_tradnl"/>
        </w:rPr>
        <w:t xml:space="preserve">, así como </w:t>
      </w:r>
      <w:r>
        <w:rPr>
          <w:rFonts w:ascii="Cambria" w:hAnsi="Cambria"/>
          <w:sz w:val="20"/>
          <w:szCs w:val="20"/>
          <w:lang w:val="es-ES_tradnl"/>
        </w:rPr>
        <w:t xml:space="preserve">las garantías aplicables en procesos de ratificación o reelección de operadores de justicia. </w:t>
      </w:r>
    </w:p>
    <w:p w14:paraId="4B929F9D" w14:textId="77777777" w:rsidR="005A7247" w:rsidRDefault="005A7247" w:rsidP="003169E1">
      <w:pPr>
        <w:pStyle w:val="Heading3"/>
        <w:numPr>
          <w:ilvl w:val="0"/>
          <w:numId w:val="61"/>
        </w:numPr>
        <w:ind w:left="1440" w:hanging="720"/>
        <w:rPr>
          <w:rFonts w:asciiTheme="majorHAnsi" w:hAnsiTheme="majorHAnsi"/>
          <w:sz w:val="20"/>
          <w:szCs w:val="20"/>
          <w:lang w:val="es-ES_tradnl"/>
        </w:rPr>
      </w:pPr>
      <w:bookmarkStart w:id="15" w:name="_Toc521483541"/>
      <w:bookmarkStart w:id="16" w:name="_Toc527450128"/>
      <w:r w:rsidRPr="00EA3835">
        <w:rPr>
          <w:rFonts w:asciiTheme="majorHAnsi" w:hAnsiTheme="majorHAnsi"/>
          <w:sz w:val="20"/>
          <w:szCs w:val="20"/>
          <w:lang w:val="es-ES_tradnl"/>
        </w:rPr>
        <w:t>Consideraciones generales sobre las garantías aplicables a operadores y operadoras judiciales incluyendo fiscales</w:t>
      </w:r>
      <w:bookmarkEnd w:id="15"/>
      <w:bookmarkEnd w:id="16"/>
    </w:p>
    <w:p w14:paraId="530219AF" w14:textId="77777777" w:rsidR="003169E1" w:rsidRPr="003169E1" w:rsidRDefault="003169E1" w:rsidP="003169E1">
      <w:pPr>
        <w:rPr>
          <w:lang w:val="es-ES_tradnl"/>
        </w:rPr>
      </w:pPr>
    </w:p>
    <w:p w14:paraId="12A02BA3" w14:textId="77777777" w:rsidR="005A7247" w:rsidRPr="00D5365D" w:rsidRDefault="005A7247" w:rsidP="003E17D7">
      <w:pPr>
        <w:pStyle w:val="Heading3"/>
        <w:numPr>
          <w:ilvl w:val="1"/>
          <w:numId w:val="61"/>
        </w:numPr>
        <w:spacing w:before="0" w:after="0"/>
        <w:ind w:left="1440" w:hanging="720"/>
        <w:jc w:val="both"/>
        <w:rPr>
          <w:rFonts w:ascii="Cambria" w:hAnsi="Cambria"/>
          <w:sz w:val="20"/>
          <w:szCs w:val="20"/>
          <w:lang w:val="es-ES_tradnl"/>
        </w:rPr>
      </w:pPr>
      <w:bookmarkStart w:id="17" w:name="_Toc521483542"/>
      <w:bookmarkStart w:id="18" w:name="_Toc527450129"/>
      <w:r>
        <w:rPr>
          <w:rFonts w:ascii="Cambria" w:hAnsi="Cambria"/>
          <w:sz w:val="20"/>
          <w:szCs w:val="20"/>
          <w:lang w:val="es-ES_tradnl"/>
        </w:rPr>
        <w:t>El principio de independencia judicial y la remoción de operadores y operadoras judiciales</w:t>
      </w:r>
      <w:bookmarkEnd w:id="17"/>
      <w:bookmarkEnd w:id="18"/>
      <w:r>
        <w:rPr>
          <w:rFonts w:ascii="Cambria" w:hAnsi="Cambria"/>
          <w:sz w:val="20"/>
          <w:szCs w:val="20"/>
          <w:lang w:val="es-ES_tradnl"/>
        </w:rPr>
        <w:t xml:space="preserve"> </w:t>
      </w:r>
    </w:p>
    <w:p w14:paraId="25B6D69F" w14:textId="77777777" w:rsidR="005A7247" w:rsidRPr="000E40DD" w:rsidRDefault="005A7247" w:rsidP="005A7247">
      <w:pPr>
        <w:rPr>
          <w:lang w:val="es-ES_tradnl"/>
        </w:rPr>
      </w:pPr>
    </w:p>
    <w:p w14:paraId="72545365"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 w:eastAsia="es-ES"/>
        </w:rPr>
        <w:t xml:space="preserve">La CIDH ha indicado que el principio de independencia judicial </w:t>
      </w:r>
      <w:r w:rsidRPr="00D5365D">
        <w:rPr>
          <w:rFonts w:ascii="Cambria" w:hAnsi="Cambria"/>
          <w:sz w:val="20"/>
          <w:szCs w:val="20"/>
        </w:rPr>
        <w:t>es un requisito inherente a un sistema democrático y un prerrequisito fundamental para la protección de los derechos humanos</w:t>
      </w:r>
      <w:r w:rsidRPr="001E3078">
        <w:rPr>
          <w:rStyle w:val="FootnoteReference"/>
          <w:rFonts w:ascii="Cambria" w:hAnsi="Cambria"/>
          <w:sz w:val="20"/>
          <w:szCs w:val="20"/>
        </w:rPr>
        <w:footnoteReference w:id="60"/>
      </w:r>
      <w:r w:rsidRPr="00D5365D">
        <w:rPr>
          <w:rFonts w:ascii="Cambria" w:hAnsi="Cambria"/>
          <w:sz w:val="20"/>
          <w:szCs w:val="20"/>
        </w:rPr>
        <w:t>. Se encuentra consagrado como una de las garantías del debido proceso protegida por el artículo 8.1 de la Convención Americana y, además, de dicho principio se desprenden a su vez garantías “reforzadas”</w:t>
      </w:r>
      <w:r w:rsidRPr="001E3078">
        <w:rPr>
          <w:rStyle w:val="FootnoteReference"/>
          <w:rFonts w:ascii="Cambria" w:hAnsi="Cambria"/>
          <w:sz w:val="20"/>
          <w:szCs w:val="20"/>
        </w:rPr>
        <w:footnoteReference w:id="61"/>
      </w:r>
      <w:r w:rsidRPr="00D5365D">
        <w:rPr>
          <w:rFonts w:ascii="Cambria" w:hAnsi="Cambria"/>
          <w:sz w:val="20"/>
          <w:szCs w:val="20"/>
        </w:rPr>
        <w:t xml:space="preserve"> que los Estados deben brindar a los jueces y juezas a fin de asegurar su independencia</w:t>
      </w:r>
      <w:r w:rsidRPr="001E3078">
        <w:rPr>
          <w:rStyle w:val="FootnoteReference"/>
          <w:rFonts w:ascii="Cambria" w:hAnsi="Cambria"/>
          <w:sz w:val="20"/>
          <w:szCs w:val="20"/>
        </w:rPr>
        <w:footnoteReference w:id="62"/>
      </w:r>
      <w:r w:rsidRPr="00D5365D">
        <w:rPr>
          <w:rFonts w:ascii="Cambria" w:hAnsi="Cambria"/>
          <w:sz w:val="20"/>
          <w:szCs w:val="20"/>
        </w:rPr>
        <w:t>. Los órganos del sistema interamericano han interpretado el principio de independencia judicial en el sentido de incorporar las siguientes garantías: adecuado proceso de nombramiento, inamovilidad en el cargo y garantía contra presiones externas</w:t>
      </w:r>
      <w:r w:rsidRPr="001E3078">
        <w:rPr>
          <w:rStyle w:val="FootnoteReference"/>
          <w:rFonts w:ascii="Cambria" w:hAnsi="Cambria"/>
          <w:sz w:val="20"/>
          <w:szCs w:val="20"/>
        </w:rPr>
        <w:footnoteReference w:id="63"/>
      </w:r>
      <w:r w:rsidRPr="00D5365D">
        <w:rPr>
          <w:rFonts w:ascii="Cambria" w:hAnsi="Cambria"/>
          <w:sz w:val="20"/>
          <w:szCs w:val="20"/>
        </w:rPr>
        <w:t>.</w:t>
      </w:r>
    </w:p>
    <w:p w14:paraId="28104E64" w14:textId="77777777" w:rsidR="005A7247" w:rsidRPr="00D5074E"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14:paraId="149C202E" w14:textId="77777777" w:rsidR="005A7247" w:rsidRPr="001A6DA1"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_tradnl"/>
        </w:rPr>
        <w:t xml:space="preserve">Específicamente, respecto de las garantías para asegurar la inamovilidad, la Corte ha indicado que los procesos que pueden culminar con la separación de un operador u operadora judicial, deben desarrollarse de manera compatible con el principio de independencia judicial. </w:t>
      </w:r>
      <w:r w:rsidRPr="000B6F66">
        <w:rPr>
          <w:rFonts w:ascii="Cambria" w:hAnsi="Cambria"/>
          <w:sz w:val="20"/>
          <w:szCs w:val="20"/>
          <w:lang w:val="es-ES_tradnl"/>
        </w:rPr>
        <w:t xml:space="preserve">Ello implica que los </w:t>
      </w:r>
      <w:r w:rsidRPr="000B6F66">
        <w:rPr>
          <w:rFonts w:asciiTheme="majorHAnsi" w:hAnsiTheme="majorHAnsi"/>
          <w:sz w:val="20"/>
          <w:szCs w:val="20"/>
          <w:bdr w:val="none" w:sz="0" w:space="0" w:color="auto"/>
          <w:lang w:val="es-VE"/>
        </w:rPr>
        <w:t>Estados deben asegurar que todas las personas que ejerzan la función judicial cuenten con garantías de estabilidad reforzada, entendiendo</w:t>
      </w:r>
      <w:r>
        <w:rPr>
          <w:rFonts w:asciiTheme="majorHAnsi" w:hAnsiTheme="majorHAnsi"/>
          <w:sz w:val="20"/>
          <w:szCs w:val="20"/>
          <w:bdr w:val="none" w:sz="0" w:space="0" w:color="auto"/>
          <w:lang w:val="es-VE"/>
        </w:rPr>
        <w:t xml:space="preserve"> por ello</w:t>
      </w:r>
      <w:r w:rsidRPr="000B6F66">
        <w:rPr>
          <w:rFonts w:asciiTheme="majorHAnsi" w:hAnsiTheme="majorHAnsi"/>
          <w:sz w:val="20"/>
          <w:szCs w:val="20"/>
          <w:bdr w:val="none" w:sz="0" w:space="0" w:color="auto"/>
          <w:lang w:val="es-VE"/>
        </w:rPr>
        <w:t xml:space="preserve"> que la destitución o cese de un juez</w:t>
      </w:r>
      <w:r>
        <w:rPr>
          <w:rFonts w:asciiTheme="majorHAnsi" w:hAnsiTheme="majorHAnsi"/>
          <w:sz w:val="20"/>
          <w:szCs w:val="20"/>
          <w:bdr w:val="none" w:sz="0" w:space="0" w:color="auto"/>
          <w:lang w:val="es-VE"/>
        </w:rPr>
        <w:t xml:space="preserve"> o jueza</w:t>
      </w:r>
      <w:r w:rsidRPr="000B6F66">
        <w:rPr>
          <w:rFonts w:asciiTheme="majorHAnsi" w:hAnsiTheme="majorHAnsi"/>
          <w:sz w:val="20"/>
          <w:szCs w:val="20"/>
          <w:bdr w:val="none" w:sz="0" w:space="0" w:color="auto"/>
          <w:lang w:val="es-VE"/>
        </w:rPr>
        <w:t xml:space="preserve"> en su cargo puede proceder por dos razones fundamentales: i. por incurrir en </w:t>
      </w:r>
      <w:r w:rsidRPr="000B6F66">
        <w:rPr>
          <w:rFonts w:ascii="Cambria" w:hAnsi="Cambria" w:cs="Verdana"/>
          <w:sz w:val="20"/>
          <w:szCs w:val="20"/>
          <w:lang w:val="es-UY"/>
        </w:rPr>
        <w:t>conductas “claramente reprochables”, “razones verdaderamente graves de mala conducta o incompetencia”</w:t>
      </w:r>
      <w:r w:rsidRPr="00D276E7">
        <w:rPr>
          <w:rFonts w:ascii="Cambria" w:hAnsi="Cambria"/>
          <w:sz w:val="20"/>
          <w:szCs w:val="20"/>
          <w:vertAlign w:val="superscript"/>
          <w:lang w:val="es-UY"/>
        </w:rPr>
        <w:footnoteReference w:id="64"/>
      </w:r>
      <w:r w:rsidRPr="000B6F66">
        <w:rPr>
          <w:rFonts w:ascii="Cambria" w:hAnsi="Cambria" w:cs="Verdana"/>
          <w:sz w:val="20"/>
          <w:szCs w:val="20"/>
          <w:lang w:val="es-UY"/>
        </w:rPr>
        <w:t xml:space="preserve"> o bien ii. por cumplirse el plazo o condición establecida en la designación. La provisionalidad no equivale a libre remoción y no debe significar alteración alguna del régimen de garantías para el buen desempeño del juzgador y la salvaguarda de los propios justiciables</w:t>
      </w:r>
      <w:r w:rsidRPr="00A17FCC">
        <w:rPr>
          <w:rFonts w:asciiTheme="majorHAnsi" w:hAnsiTheme="majorHAnsi"/>
          <w:sz w:val="20"/>
          <w:vertAlign w:val="superscript"/>
        </w:rPr>
        <w:footnoteReference w:id="65"/>
      </w:r>
      <w:r w:rsidRPr="000B6F66">
        <w:rPr>
          <w:rFonts w:ascii="Cambria" w:hAnsi="Cambria" w:cs="Verdana"/>
          <w:sz w:val="20"/>
          <w:szCs w:val="20"/>
          <w:lang w:val="es-UY"/>
        </w:rPr>
        <w:t xml:space="preserve">. </w:t>
      </w:r>
    </w:p>
    <w:p w14:paraId="448B53FC" w14:textId="77777777" w:rsidR="001A6DA1" w:rsidRDefault="001A6DA1" w:rsidP="001A6DA1">
      <w:pPr>
        <w:pStyle w:val="ListParagraph"/>
        <w:rPr>
          <w:sz w:val="20"/>
          <w:szCs w:val="20"/>
          <w:lang w:val="es-ES_tradnl"/>
        </w:rPr>
      </w:pPr>
    </w:p>
    <w:p w14:paraId="3021CB21" w14:textId="77777777" w:rsidR="001A6DA1" w:rsidRPr="00F12B1E" w:rsidRDefault="001A6DA1" w:rsidP="001A6D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_tradnl"/>
        </w:rPr>
        <w:t>Respecto del plazo o condición establecido en la des</w:t>
      </w:r>
      <w:r w:rsidR="00E97797">
        <w:rPr>
          <w:rFonts w:ascii="Cambria" w:hAnsi="Cambria"/>
          <w:sz w:val="20"/>
          <w:szCs w:val="20"/>
          <w:lang w:val="es-ES_tradnl"/>
        </w:rPr>
        <w:t>ignación, los Principios B</w:t>
      </w:r>
      <w:r>
        <w:rPr>
          <w:rFonts w:ascii="Cambria" w:hAnsi="Cambria"/>
          <w:sz w:val="20"/>
          <w:szCs w:val="20"/>
          <w:lang w:val="es-ES_tradnl"/>
        </w:rPr>
        <w:t>ásicos de Naciones Unidas relativos a la independencia de la judicatura establecen que “se garantizará la inamovilidad de los jueces, tanto de los nombrados mediante decisión administrativa como de los elegidos, hasta que cumplan la edad para la jubilación forzosa o expire el período para el que hayan sido nombrados o elegidos, cuando existan normas al respecto”</w:t>
      </w:r>
      <w:r w:rsidR="00F12B1E">
        <w:rPr>
          <w:rStyle w:val="FootnoteReference"/>
          <w:rFonts w:ascii="Cambria" w:hAnsi="Cambria"/>
          <w:sz w:val="20"/>
          <w:szCs w:val="20"/>
          <w:lang w:val="es-ES_tradnl"/>
        </w:rPr>
        <w:footnoteReference w:id="66"/>
      </w:r>
      <w:r>
        <w:rPr>
          <w:rFonts w:ascii="Cambria" w:hAnsi="Cambria"/>
          <w:sz w:val="20"/>
          <w:szCs w:val="20"/>
          <w:lang w:val="es-ES_tradnl"/>
        </w:rPr>
        <w:t xml:space="preserve">. </w:t>
      </w:r>
    </w:p>
    <w:p w14:paraId="1B7A9000" w14:textId="77777777" w:rsidR="005A7247" w:rsidRPr="000C368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47F30FC4" w14:textId="77777777" w:rsidR="005A7247" w:rsidRPr="0084344B"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Theme="majorHAnsi" w:hAnsiTheme="majorHAnsi"/>
          <w:sz w:val="20"/>
          <w:szCs w:val="20"/>
          <w:lang w:val="es-ES_tradnl"/>
        </w:rPr>
        <w:t>L</w:t>
      </w:r>
      <w:r w:rsidRPr="0082190A">
        <w:rPr>
          <w:rFonts w:asciiTheme="majorHAnsi" w:hAnsiTheme="majorHAnsi"/>
          <w:sz w:val="20"/>
          <w:szCs w:val="20"/>
          <w:lang w:val="es-ES_tradnl"/>
        </w:rPr>
        <w:t xml:space="preserve">a estabilidad en el cargo de las y </w:t>
      </w:r>
      <w:r w:rsidRPr="0082190A">
        <w:rPr>
          <w:rFonts w:asciiTheme="majorHAnsi" w:hAnsiTheme="majorHAnsi"/>
          <w:sz w:val="20"/>
          <w:szCs w:val="20"/>
          <w:lang w:val="es-VE"/>
        </w:rPr>
        <w:t xml:space="preserve">los operadores de justicia está estrechamente ligada a la garantía contra presiones externas e internas, ya que si no tienen la seguridad de permanencia durante un periodo determinado, serán vulnerables a presiones de distintos sectores, principalmente de quienes tienen la facultad de decidir sobre sus destituciones. </w:t>
      </w:r>
    </w:p>
    <w:p w14:paraId="52B09BC8" w14:textId="77777777" w:rsidR="005A7247" w:rsidRPr="001378AC"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5C552FBB" w14:textId="77777777" w:rsidR="00286263" w:rsidRPr="00286263"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82190A">
        <w:rPr>
          <w:rFonts w:asciiTheme="majorHAnsi" w:hAnsiTheme="majorHAnsi"/>
          <w:sz w:val="20"/>
          <w:szCs w:val="20"/>
          <w:lang w:val="es-VE"/>
        </w:rPr>
        <w:t>En virtud de ello</w:t>
      </w:r>
      <w:r>
        <w:rPr>
          <w:rFonts w:asciiTheme="majorHAnsi" w:hAnsiTheme="majorHAnsi"/>
          <w:sz w:val="20"/>
          <w:szCs w:val="20"/>
          <w:lang w:val="es-VE"/>
        </w:rPr>
        <w:t>,</w:t>
      </w:r>
      <w:r w:rsidRPr="0082190A">
        <w:rPr>
          <w:rFonts w:asciiTheme="majorHAnsi" w:hAnsiTheme="majorHAnsi"/>
          <w:sz w:val="20"/>
          <w:szCs w:val="20"/>
          <w:lang w:val="es-VE"/>
        </w:rPr>
        <w:t xml:space="preserve"> la Comisión </w:t>
      </w:r>
      <w:r>
        <w:rPr>
          <w:rFonts w:asciiTheme="majorHAnsi" w:hAnsiTheme="majorHAnsi"/>
          <w:sz w:val="20"/>
          <w:szCs w:val="20"/>
          <w:lang w:val="es-VE"/>
        </w:rPr>
        <w:t xml:space="preserve">reitera </w:t>
      </w:r>
      <w:r w:rsidRPr="0082190A">
        <w:rPr>
          <w:rFonts w:asciiTheme="majorHAnsi" w:hAnsiTheme="majorHAnsi"/>
          <w:sz w:val="20"/>
          <w:szCs w:val="20"/>
          <w:lang w:val="es-VE"/>
        </w:rPr>
        <w:t xml:space="preserve">que </w:t>
      </w:r>
      <w:r>
        <w:rPr>
          <w:rFonts w:asciiTheme="majorHAnsi" w:hAnsiTheme="majorHAnsi"/>
          <w:sz w:val="20"/>
          <w:szCs w:val="20"/>
          <w:lang w:val="es-VE"/>
        </w:rPr>
        <w:t xml:space="preserve">los Estados deben asegurar que todas las personas que ejerzan función judicial cuenten con garantías de estabilidad reforzada, entendiendo que, salvo la comisión de graves faltas disciplinarias, la estabilidad en el cargo debe ser respetada por el plazo o condición establecida en la designación, sin distinción entre los jueces de carrera y aquellos que ejercen temporal o provisoriamente la función judicial. </w:t>
      </w:r>
      <w:r w:rsidR="00CF3F2A">
        <w:rPr>
          <w:rFonts w:asciiTheme="majorHAnsi" w:hAnsiTheme="majorHAnsi"/>
          <w:sz w:val="20"/>
          <w:szCs w:val="20"/>
          <w:lang w:val="es-VE"/>
        </w:rPr>
        <w:t xml:space="preserve">La eventual </w:t>
      </w:r>
      <w:r>
        <w:rPr>
          <w:rFonts w:asciiTheme="majorHAnsi" w:hAnsiTheme="majorHAnsi"/>
          <w:sz w:val="20"/>
          <w:szCs w:val="20"/>
          <w:lang w:val="es-VE"/>
        </w:rPr>
        <w:t>temporalidad o provisionalidad debe estar determinada por un término o condición específica del ejercicio de la judicatura, a fin de garantizar que estos jueces no serán removidos de sus cargos en razón de los fallos que adopten o en virtud de decisiones arbitrarias de entes administrativos o judiciales.</w:t>
      </w:r>
    </w:p>
    <w:p w14:paraId="4B14FE3C" w14:textId="77777777" w:rsidR="005A7247" w:rsidRDefault="005A7247" w:rsidP="002862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bdr w:val="none" w:sz="0" w:space="0" w:color="auto"/>
          <w:lang w:val="es-VE"/>
        </w:rPr>
      </w:pPr>
    </w:p>
    <w:p w14:paraId="7F6A33D0" w14:textId="77777777" w:rsidR="005A7247" w:rsidRPr="00AC446B" w:rsidRDefault="005A7247" w:rsidP="003E17D7">
      <w:pPr>
        <w:pStyle w:val="Heading3"/>
        <w:numPr>
          <w:ilvl w:val="1"/>
          <w:numId w:val="61"/>
        </w:numPr>
        <w:spacing w:before="0" w:after="0"/>
        <w:ind w:left="1440" w:hanging="720"/>
        <w:jc w:val="both"/>
        <w:rPr>
          <w:rFonts w:ascii="Cambria" w:hAnsi="Cambria"/>
          <w:sz w:val="20"/>
          <w:szCs w:val="20"/>
          <w:lang w:val="es-ES_tradnl"/>
        </w:rPr>
      </w:pPr>
      <w:bookmarkStart w:id="19" w:name="_Toc521483543"/>
      <w:bookmarkStart w:id="20" w:name="_Toc527450130"/>
      <w:r>
        <w:rPr>
          <w:rFonts w:ascii="Cambria" w:hAnsi="Cambria"/>
          <w:sz w:val="20"/>
          <w:szCs w:val="20"/>
          <w:lang w:val="es-ES_tradnl"/>
        </w:rPr>
        <w:t>Consideraciones generales sobre la estabilidad reforzada de fiscales</w:t>
      </w:r>
      <w:bookmarkEnd w:id="19"/>
      <w:bookmarkEnd w:id="20"/>
      <w:r>
        <w:rPr>
          <w:rFonts w:ascii="Cambria" w:hAnsi="Cambria"/>
          <w:sz w:val="20"/>
          <w:szCs w:val="20"/>
          <w:lang w:val="es-ES_tradnl"/>
        </w:rPr>
        <w:t xml:space="preserve"> </w:t>
      </w:r>
    </w:p>
    <w:p w14:paraId="2852A19C"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bdr w:val="none" w:sz="0" w:space="0" w:color="auto"/>
          <w:lang w:val="es-VE"/>
        </w:rPr>
      </w:pPr>
    </w:p>
    <w:p w14:paraId="050E98A5"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sidRPr="001E4697">
        <w:rPr>
          <w:rFonts w:ascii="Cambria" w:hAnsi="Cambria"/>
          <w:sz w:val="20"/>
          <w:szCs w:val="20"/>
          <w:lang w:val="es-ES_tradnl"/>
        </w:rPr>
        <w:t>La Comisión estima que el principio de estabilidad</w:t>
      </w:r>
      <w:r>
        <w:rPr>
          <w:rFonts w:ascii="Cambria" w:hAnsi="Cambria"/>
          <w:sz w:val="20"/>
          <w:szCs w:val="20"/>
          <w:lang w:val="es-ES_tradnl"/>
        </w:rPr>
        <w:t xml:space="preserve"> reforzada</w:t>
      </w:r>
      <w:r w:rsidRPr="001E4697">
        <w:rPr>
          <w:rFonts w:ascii="Cambria" w:hAnsi="Cambria"/>
          <w:sz w:val="20"/>
          <w:szCs w:val="20"/>
          <w:lang w:val="es-ES_tradnl"/>
        </w:rPr>
        <w:t xml:space="preserve"> de jueces y juezas </w:t>
      </w:r>
      <w:r>
        <w:rPr>
          <w:rFonts w:ascii="Cambria" w:hAnsi="Cambria"/>
          <w:sz w:val="20"/>
          <w:szCs w:val="20"/>
          <w:lang w:val="es-ES_tradnl"/>
        </w:rPr>
        <w:t xml:space="preserve">resulta también </w:t>
      </w:r>
      <w:r w:rsidRPr="001E4697">
        <w:rPr>
          <w:rFonts w:ascii="Cambria" w:hAnsi="Cambria"/>
          <w:sz w:val="20"/>
          <w:szCs w:val="20"/>
          <w:lang w:val="es-ES_tradnl"/>
        </w:rPr>
        <w:t xml:space="preserve">aplicable a fiscales en la medida en que </w:t>
      </w:r>
      <w:r>
        <w:rPr>
          <w:rFonts w:ascii="Cambria" w:hAnsi="Cambria"/>
          <w:sz w:val="20"/>
          <w:szCs w:val="20"/>
          <w:lang w:val="es-ES_tradnl"/>
        </w:rPr>
        <w:t xml:space="preserve">desempeñan un papel complementario al del juez en la administración de justicia, </w:t>
      </w:r>
      <w:r w:rsidRPr="002C4A8B">
        <w:rPr>
          <w:rFonts w:ascii="Cambria" w:hAnsi="Cambria"/>
          <w:sz w:val="20"/>
          <w:szCs w:val="20"/>
          <w:lang w:val="es-ES_tradnl"/>
        </w:rPr>
        <w:t>al promover procesos penales, investigar delitos, así como el ejercicio de otras funciones de interés p</w:t>
      </w:r>
      <w:r>
        <w:rPr>
          <w:rFonts w:ascii="Cambria" w:hAnsi="Cambria"/>
          <w:sz w:val="20"/>
          <w:szCs w:val="20"/>
          <w:lang w:val="es-ES_tradnl"/>
        </w:rPr>
        <w:t>úblico, lo cual en ausencia de garantías suficientes puede favorecer que sean objeto de presiones internas y externas con respecto a las decisiones que toman</w:t>
      </w:r>
      <w:r w:rsidRPr="004C3824">
        <w:rPr>
          <w:rStyle w:val="FootnoteReference"/>
          <w:rFonts w:asciiTheme="majorHAnsi" w:hAnsiTheme="majorHAnsi"/>
          <w:sz w:val="20"/>
          <w:szCs w:val="20"/>
          <w:lang w:val="es-ES_tradnl"/>
        </w:rPr>
        <w:footnoteReference w:id="67"/>
      </w:r>
      <w:r>
        <w:rPr>
          <w:rFonts w:ascii="Cambria" w:hAnsi="Cambria"/>
          <w:sz w:val="20"/>
          <w:szCs w:val="20"/>
          <w:lang w:val="es-ES_tradnl"/>
        </w:rPr>
        <w:t xml:space="preserve">. </w:t>
      </w:r>
    </w:p>
    <w:p w14:paraId="1C02A38C"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14:paraId="2C48EEC7"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_tradnl"/>
        </w:rPr>
        <w:t>Al respecto las Directrices de Naciones Unidas sobre la Función de los Fiscales establecen que “los Estados garantizarán que los fiscales puedan ejercer sus funciones profesionales sin intimidación, trabas, hostigamiento, injerencias indebidas o riesgo injustificado de incurrir en responsabilidad civil, penal o de otra índole”</w:t>
      </w:r>
      <w:r w:rsidRPr="00803F4B">
        <w:rPr>
          <w:rStyle w:val="FootnoteReference"/>
          <w:rFonts w:asciiTheme="majorHAnsi" w:hAnsiTheme="majorHAnsi"/>
          <w:sz w:val="20"/>
          <w:szCs w:val="20"/>
          <w:lang w:val="es-ES_tradnl"/>
        </w:rPr>
        <w:footnoteReference w:id="68"/>
      </w:r>
      <w:r>
        <w:rPr>
          <w:rFonts w:ascii="Cambria" w:hAnsi="Cambria"/>
          <w:sz w:val="20"/>
          <w:szCs w:val="20"/>
          <w:lang w:val="es-ES_tradnl"/>
        </w:rPr>
        <w:t xml:space="preserve">. </w:t>
      </w:r>
    </w:p>
    <w:p w14:paraId="04FD159F"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14:paraId="7C33399E"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_tradnl"/>
        </w:rPr>
        <w:t>Asimismo, la Declaración de Burdeos sobre los jueces y fiscales en una sociedad democrática establece que:</w:t>
      </w:r>
    </w:p>
    <w:p w14:paraId="54365FD4" w14:textId="77777777" w:rsidR="005A7247" w:rsidRPr="00C053E3"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4507248D"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180"/>
        <w:jc w:val="both"/>
        <w:rPr>
          <w:rFonts w:ascii="Cambria" w:hAnsi="Cambria"/>
          <w:sz w:val="20"/>
          <w:szCs w:val="20"/>
          <w:lang w:val="es-ES_tradnl"/>
        </w:rPr>
      </w:pPr>
      <w:r>
        <w:rPr>
          <w:rFonts w:ascii="Cambria" w:hAnsi="Cambria"/>
          <w:sz w:val="20"/>
          <w:szCs w:val="20"/>
          <w:lang w:val="es-ES_tradnl"/>
        </w:rPr>
        <w:t>La independencia del Ministerio P</w:t>
      </w:r>
      <w:r w:rsidRPr="00026CC4">
        <w:rPr>
          <w:rFonts w:ascii="Cambria" w:hAnsi="Cambria"/>
          <w:sz w:val="20"/>
          <w:szCs w:val="20"/>
          <w:lang w:val="es-ES_tradnl"/>
        </w:rPr>
        <w:t>úblico constituye un corolario imprescindible de la independencia del poder ju</w:t>
      </w:r>
      <w:r>
        <w:rPr>
          <w:rFonts w:ascii="Cambria" w:hAnsi="Cambria"/>
          <w:sz w:val="20"/>
          <w:szCs w:val="20"/>
          <w:lang w:val="es-ES_tradnl"/>
        </w:rPr>
        <w:t>dicial (…) La independencia del Ministerio P</w:t>
      </w:r>
      <w:r w:rsidRPr="00026CC4">
        <w:rPr>
          <w:rFonts w:ascii="Cambria" w:hAnsi="Cambria"/>
          <w:sz w:val="20"/>
          <w:szCs w:val="20"/>
          <w:lang w:val="es-ES_tradnl"/>
        </w:rPr>
        <w:t xml:space="preserve">úblico, es imprescindible para permitirle cumplir su misión (…) A semejanza de la independencia que es propia de los jueces, la independencia que debe reconocerse al ministerio público, no constituye una prerrogativa o un privilegio concedido en interés de sus miembros, sino una garantía para una justicia equitativa, imparcial y eficaz que protege los intereses públicos y privados de los personas afectadas. </w:t>
      </w:r>
    </w:p>
    <w:p w14:paraId="3E121B93"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180"/>
        <w:jc w:val="both"/>
        <w:rPr>
          <w:rFonts w:ascii="Cambria" w:hAnsi="Cambria"/>
          <w:sz w:val="20"/>
          <w:szCs w:val="20"/>
          <w:lang w:val="es-ES_tradnl"/>
        </w:rPr>
      </w:pPr>
    </w:p>
    <w:p w14:paraId="57B8B4E3"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180"/>
        <w:jc w:val="both"/>
        <w:rPr>
          <w:rFonts w:ascii="Cambria" w:hAnsi="Cambria"/>
          <w:sz w:val="20"/>
          <w:szCs w:val="20"/>
          <w:lang w:val="es-ES_tradnl"/>
        </w:rPr>
      </w:pPr>
      <w:r>
        <w:rPr>
          <w:rFonts w:ascii="Cambria" w:hAnsi="Cambria"/>
          <w:sz w:val="20"/>
          <w:szCs w:val="20"/>
          <w:lang w:val="es-ES_tradnl"/>
        </w:rPr>
        <w:t>(…) la proximidad y complementariedad de las misiones del juez y del fiscal, imponen exigencias y garantías parecidas en el ámbito del estatuto y de las condiciones de empleo, en particular en lo relativo a la selección inicial, la formación, el desarrollo de la carrera, la disciplina, el traslado, la remuneración, el cese de funciones y la libertad de crear asociaciones profesionales</w:t>
      </w:r>
      <w:r w:rsidRPr="00FB0223">
        <w:rPr>
          <w:rStyle w:val="FootnoteReference"/>
          <w:rFonts w:asciiTheme="majorHAnsi" w:hAnsiTheme="majorHAnsi"/>
          <w:sz w:val="20"/>
          <w:szCs w:val="20"/>
          <w:lang w:val="es-ES_tradnl"/>
        </w:rPr>
        <w:footnoteReference w:id="69"/>
      </w:r>
      <w:r>
        <w:rPr>
          <w:rFonts w:ascii="Cambria" w:hAnsi="Cambria"/>
          <w:sz w:val="20"/>
          <w:szCs w:val="20"/>
          <w:lang w:val="es-ES_tradnl"/>
        </w:rPr>
        <w:t xml:space="preserve">. </w:t>
      </w:r>
    </w:p>
    <w:p w14:paraId="6400442D"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14:paraId="794458C5"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ES_tradnl"/>
        </w:rPr>
      </w:pPr>
      <w:r w:rsidRPr="00586C36">
        <w:rPr>
          <w:rFonts w:asciiTheme="majorHAnsi" w:hAnsiTheme="majorHAnsi"/>
          <w:sz w:val="20"/>
          <w:szCs w:val="20"/>
          <w:lang w:val="es-ES_tradnl"/>
        </w:rPr>
        <w:t xml:space="preserve">También, el Consejo Consultivo de Fiscales Europeos del </w:t>
      </w:r>
      <w:r>
        <w:rPr>
          <w:rFonts w:asciiTheme="majorHAnsi" w:hAnsiTheme="majorHAnsi"/>
          <w:sz w:val="20"/>
          <w:szCs w:val="20"/>
          <w:lang w:val="es-ES_tradnl"/>
        </w:rPr>
        <w:t>Consejo de Europa indicó en su O</w:t>
      </w:r>
      <w:r w:rsidRPr="00586C36">
        <w:rPr>
          <w:rFonts w:asciiTheme="majorHAnsi" w:hAnsiTheme="majorHAnsi"/>
          <w:sz w:val="20"/>
          <w:szCs w:val="20"/>
          <w:lang w:val="es-ES_tradnl"/>
        </w:rPr>
        <w:t xml:space="preserve">pinión no. 9 que: </w:t>
      </w:r>
    </w:p>
    <w:p w14:paraId="4E0E8962"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_tradnl"/>
        </w:rPr>
      </w:pPr>
    </w:p>
    <w:p w14:paraId="1EB94C58" w14:textId="77777777" w:rsidR="005A7247" w:rsidRPr="00586C36"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180"/>
        <w:jc w:val="both"/>
        <w:rPr>
          <w:rFonts w:asciiTheme="majorHAnsi" w:hAnsiTheme="majorHAnsi"/>
          <w:sz w:val="20"/>
          <w:szCs w:val="20"/>
          <w:lang w:val="es-ES_tradnl"/>
        </w:rPr>
      </w:pPr>
      <w:r w:rsidRPr="00586C36">
        <w:rPr>
          <w:rFonts w:asciiTheme="majorHAnsi" w:eastAsia="Times New Roman" w:hAnsiTheme="majorHAnsi" w:cs="Courier New"/>
          <w:sz w:val="20"/>
          <w:szCs w:val="20"/>
          <w:bdr w:val="none" w:sz="0" w:space="0" w:color="auto"/>
          <w:lang w:val="es-ES"/>
        </w:rPr>
        <w:t xml:space="preserve"> la independencia y la autonomía de los servicios de la fiscalía constituyen un corolario indispensable de la independencia del poder judicial. Por lo tanto, debe alentarse la tendencia general a mejorar la independencia y la autonomía efectiva de los servici</w:t>
      </w:r>
      <w:r>
        <w:rPr>
          <w:rFonts w:asciiTheme="majorHAnsi" w:eastAsia="Times New Roman" w:hAnsiTheme="majorHAnsi" w:cs="Courier New"/>
          <w:sz w:val="20"/>
          <w:szCs w:val="20"/>
          <w:bdr w:val="none" w:sz="0" w:space="0" w:color="auto"/>
          <w:lang w:val="es-ES"/>
        </w:rPr>
        <w:t>os de la fiscalía</w:t>
      </w:r>
      <w:r w:rsidRPr="00586C36">
        <w:rPr>
          <w:rFonts w:asciiTheme="majorHAnsi" w:eastAsia="Times New Roman" w:hAnsiTheme="majorHAnsi" w:cs="Courier New"/>
          <w:sz w:val="20"/>
          <w:szCs w:val="20"/>
          <w:bdr w:val="none" w:sz="0" w:space="0" w:color="auto"/>
          <w:lang w:val="es-ES"/>
        </w:rPr>
        <w:t xml:space="preserve"> (…)</w:t>
      </w:r>
    </w:p>
    <w:p w14:paraId="45B29A58"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180"/>
        <w:jc w:val="both"/>
        <w:rPr>
          <w:rFonts w:asciiTheme="majorHAnsi" w:eastAsia="Times New Roman" w:hAnsiTheme="majorHAnsi" w:cs="Courier New"/>
          <w:sz w:val="20"/>
          <w:szCs w:val="20"/>
          <w:bdr w:val="none" w:sz="0" w:space="0" w:color="auto"/>
          <w:lang w:val="es-ES"/>
        </w:rPr>
      </w:pPr>
      <w:r w:rsidRPr="00586C36">
        <w:rPr>
          <w:rFonts w:asciiTheme="majorHAnsi" w:eastAsia="Times New Roman" w:hAnsiTheme="majorHAnsi" w:cs="Courier New"/>
          <w:sz w:val="20"/>
          <w:szCs w:val="20"/>
          <w:bdr w:val="none" w:sz="0" w:space="0" w:color="auto"/>
          <w:lang w:val="es-ES"/>
        </w:rPr>
        <w:t xml:space="preserve"> </w:t>
      </w:r>
    </w:p>
    <w:p w14:paraId="6FD7FBA8" w14:textId="77777777" w:rsidR="005A724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180"/>
        <w:jc w:val="both"/>
        <w:rPr>
          <w:rFonts w:asciiTheme="majorHAnsi" w:hAnsiTheme="majorHAnsi"/>
          <w:sz w:val="20"/>
          <w:szCs w:val="20"/>
          <w:lang w:val="es-ES_tradnl"/>
        </w:rPr>
      </w:pPr>
      <w:r w:rsidRPr="00586C36">
        <w:rPr>
          <w:rFonts w:asciiTheme="majorHAnsi" w:eastAsia="Times New Roman" w:hAnsiTheme="majorHAnsi" w:cs="Courier New"/>
          <w:sz w:val="20"/>
          <w:szCs w:val="20"/>
          <w:bdr w:val="none" w:sz="0" w:space="0" w:color="auto"/>
          <w:lang w:val="es-ES"/>
        </w:rPr>
        <w:t>Los fiscales deberían ser autónomos en la adopción de decisiones y deberían desempeñar sus funciones sin presiones externas ni injerencias, teniendo en cuenta los principios de separación de poderes y responsabilidad</w:t>
      </w:r>
      <w:r w:rsidRPr="00285B87">
        <w:rPr>
          <w:rStyle w:val="FootnoteReference"/>
          <w:rFonts w:asciiTheme="majorHAnsi" w:hAnsiTheme="majorHAnsi" w:cs="Courier New"/>
          <w:sz w:val="20"/>
          <w:szCs w:val="20"/>
          <w:lang w:val="es-ES"/>
        </w:rPr>
        <w:footnoteReference w:id="70"/>
      </w:r>
      <w:r w:rsidRPr="00586C36">
        <w:rPr>
          <w:rFonts w:asciiTheme="majorHAnsi" w:eastAsia="Times New Roman" w:hAnsiTheme="majorHAnsi" w:cs="Courier New"/>
          <w:sz w:val="20"/>
          <w:szCs w:val="20"/>
          <w:bdr w:val="none" w:sz="0" w:space="0" w:color="auto"/>
          <w:lang w:val="es-ES"/>
        </w:rPr>
        <w:t>.</w:t>
      </w:r>
    </w:p>
    <w:p w14:paraId="4BDE4621" w14:textId="77777777" w:rsidR="005A7247" w:rsidRPr="00285B87"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_tradnl"/>
        </w:rPr>
      </w:pPr>
    </w:p>
    <w:p w14:paraId="2935419F" w14:textId="77777777" w:rsidR="00D6134E" w:rsidRPr="00D6134E" w:rsidRDefault="005A7247" w:rsidP="006F2A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_tradnl"/>
        </w:rPr>
        <w:t xml:space="preserve">En vista de las anteriores consideraciones, la CIDH estima que los estándares citados en la sección anterior resultan aplicables a los y las fiscales, quienes por la naturaleza de la función que ejercen, deben gozar de estabilidad reforzada en su cargo como una garantía para la independencia en su labor, y solo deben ser sustituidos por incurrir en faltas graves o por cumplirse el plazo o condición establecido en su designación, de manera asimilable a los jueces y juezas. </w:t>
      </w:r>
    </w:p>
    <w:p w14:paraId="7B233E3C" w14:textId="77777777" w:rsidR="00D6134E" w:rsidRDefault="00D6134E" w:rsidP="006F2A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eastAsia="es-ES"/>
        </w:rPr>
      </w:pPr>
    </w:p>
    <w:p w14:paraId="12177CF6" w14:textId="77777777" w:rsidR="00CD2D86" w:rsidRPr="00CD2D86" w:rsidRDefault="00D6134E" w:rsidP="003E17D7">
      <w:pPr>
        <w:pStyle w:val="Heading3"/>
        <w:numPr>
          <w:ilvl w:val="1"/>
          <w:numId w:val="61"/>
        </w:numPr>
        <w:spacing w:before="0" w:after="0"/>
        <w:ind w:left="1440" w:hanging="720"/>
        <w:jc w:val="both"/>
        <w:rPr>
          <w:rFonts w:ascii="Cambria" w:hAnsi="Cambria"/>
          <w:sz w:val="20"/>
          <w:szCs w:val="20"/>
          <w:lang w:val="es-ES_tradnl"/>
        </w:rPr>
      </w:pPr>
      <w:bookmarkStart w:id="21" w:name="_Toc527450131"/>
      <w:r>
        <w:rPr>
          <w:rFonts w:ascii="Cambria" w:hAnsi="Cambria"/>
          <w:sz w:val="20"/>
          <w:szCs w:val="20"/>
          <w:lang w:val="es-ES_tradnl"/>
        </w:rPr>
        <w:t>Los procesos de ratificación de jueces y fiscales</w:t>
      </w:r>
      <w:bookmarkEnd w:id="21"/>
    </w:p>
    <w:p w14:paraId="2A2191E8" w14:textId="77777777" w:rsidR="00CD2D86" w:rsidRPr="00CD2D86" w:rsidRDefault="00CD2D86" w:rsidP="00CD2D8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_tradnl"/>
        </w:rPr>
      </w:pPr>
    </w:p>
    <w:p w14:paraId="64E72F05" w14:textId="77777777" w:rsidR="004A1CF1" w:rsidRPr="00001DB4" w:rsidRDefault="00B5607A" w:rsidP="00B560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Pr>
          <w:rFonts w:asciiTheme="majorHAnsi" w:hAnsiTheme="majorHAnsi"/>
          <w:sz w:val="20"/>
          <w:szCs w:val="20"/>
          <w:lang w:val="es-VE"/>
        </w:rPr>
        <w:t xml:space="preserve"> A través de sus mecanismos de monitoreo la CIDH se ha referido a los procesos de reelección y ratificación de operadores de justicia. En particular, la CIDH ha indicado </w:t>
      </w:r>
      <w:r w:rsidR="00775155">
        <w:rPr>
          <w:rFonts w:asciiTheme="majorHAnsi" w:hAnsiTheme="majorHAnsi"/>
          <w:sz w:val="20"/>
          <w:szCs w:val="20"/>
          <w:lang w:val="es-VE"/>
        </w:rPr>
        <w:t>que</w:t>
      </w:r>
      <w:r w:rsidR="00001DB4">
        <w:rPr>
          <w:rFonts w:asciiTheme="majorHAnsi" w:hAnsiTheme="majorHAnsi"/>
          <w:sz w:val="20"/>
          <w:szCs w:val="20"/>
          <w:lang w:val="es-VE"/>
        </w:rPr>
        <w:t xml:space="preserve"> es deseable un único nombramiento de los operadores de justicia por un período determinado que asegure la permanencia en el cargo por el tiempo o condición señalada y ha considerado que</w:t>
      </w:r>
      <w:r w:rsidR="00775155" w:rsidRPr="00001DB4">
        <w:rPr>
          <w:rFonts w:asciiTheme="majorHAnsi" w:hAnsiTheme="majorHAnsi"/>
          <w:sz w:val="20"/>
          <w:szCs w:val="20"/>
          <w:lang w:val="es-VE"/>
        </w:rPr>
        <w:t xml:space="preserve"> es un factor de fragilidad en la independencia de jueces y magistrados, la posibilidad jurídica de ser sujetos a una confirmación posterior para permanecer en el cargo, o bien, de ser reelectos. La Comisi</w:t>
      </w:r>
      <w:r w:rsidR="004A71BE" w:rsidRPr="00001DB4">
        <w:rPr>
          <w:rFonts w:asciiTheme="majorHAnsi" w:hAnsiTheme="majorHAnsi"/>
          <w:sz w:val="20"/>
          <w:szCs w:val="20"/>
          <w:lang w:val="es-VE"/>
        </w:rPr>
        <w:t>ón ha indicado</w:t>
      </w:r>
      <w:r w:rsidR="00EA0499" w:rsidRPr="00001DB4">
        <w:rPr>
          <w:rFonts w:asciiTheme="majorHAnsi" w:hAnsiTheme="majorHAnsi"/>
          <w:sz w:val="20"/>
          <w:szCs w:val="20"/>
          <w:lang w:val="es-VE"/>
        </w:rPr>
        <w:t xml:space="preserve"> que es preferible que las y l</w:t>
      </w:r>
      <w:r>
        <w:rPr>
          <w:rFonts w:asciiTheme="majorHAnsi" w:hAnsiTheme="majorHAnsi"/>
          <w:sz w:val="20"/>
          <w:szCs w:val="20"/>
          <w:lang w:val="es-VE"/>
        </w:rPr>
        <w:t xml:space="preserve">os operadores de justicia </w:t>
      </w:r>
      <w:r w:rsidR="00EA0499" w:rsidRPr="00001DB4">
        <w:rPr>
          <w:rFonts w:asciiTheme="majorHAnsi" w:hAnsiTheme="majorHAnsi"/>
          <w:sz w:val="20"/>
          <w:szCs w:val="20"/>
          <w:lang w:val="es-VE"/>
        </w:rPr>
        <w:t xml:space="preserve">no estén sujetos a procedimientos de reelección o ratificación, especialmente cuando la posibilidad de confirmar en el cargo </w:t>
      </w:r>
      <w:r w:rsidR="00DD66B2" w:rsidRPr="00001DB4">
        <w:rPr>
          <w:rFonts w:asciiTheme="majorHAnsi" w:hAnsiTheme="majorHAnsi"/>
          <w:sz w:val="20"/>
          <w:szCs w:val="20"/>
          <w:lang w:val="es-VE"/>
        </w:rPr>
        <w:t>o no al operador de justicia puede ser discrecional</w:t>
      </w:r>
      <w:r w:rsidR="00674365">
        <w:rPr>
          <w:rStyle w:val="FootnoteReference"/>
          <w:rFonts w:asciiTheme="majorHAnsi" w:hAnsiTheme="majorHAnsi"/>
          <w:sz w:val="20"/>
          <w:szCs w:val="20"/>
          <w:lang w:val="es-VE"/>
        </w:rPr>
        <w:footnoteReference w:id="71"/>
      </w:r>
      <w:r w:rsidR="00DD66B2" w:rsidRPr="00001DB4">
        <w:rPr>
          <w:rFonts w:asciiTheme="majorHAnsi" w:hAnsiTheme="majorHAnsi"/>
          <w:sz w:val="20"/>
          <w:szCs w:val="20"/>
          <w:lang w:val="es-VE"/>
        </w:rPr>
        <w:t>.</w:t>
      </w:r>
      <w:r w:rsidR="00674365" w:rsidRPr="00001DB4">
        <w:rPr>
          <w:rFonts w:asciiTheme="majorHAnsi" w:hAnsiTheme="majorHAnsi"/>
          <w:sz w:val="20"/>
          <w:szCs w:val="20"/>
          <w:lang w:val="es-VE"/>
        </w:rPr>
        <w:t xml:space="preserve"> </w:t>
      </w:r>
    </w:p>
    <w:p w14:paraId="1403C66F" w14:textId="77777777" w:rsidR="00DD66B2" w:rsidRDefault="00DD66B2" w:rsidP="00DD66B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14:paraId="6FE04E36" w14:textId="77777777" w:rsidR="00DD66B2" w:rsidRDefault="00775155" w:rsidP="00CD2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Pr>
          <w:rFonts w:asciiTheme="majorHAnsi" w:hAnsiTheme="majorHAnsi"/>
          <w:sz w:val="20"/>
          <w:szCs w:val="20"/>
          <w:lang w:val="es-VE"/>
        </w:rPr>
        <w:t xml:space="preserve">Sobre el aspecto </w:t>
      </w:r>
      <w:r w:rsidR="004A71BE">
        <w:rPr>
          <w:rFonts w:asciiTheme="majorHAnsi" w:hAnsiTheme="majorHAnsi"/>
          <w:sz w:val="20"/>
          <w:szCs w:val="20"/>
          <w:lang w:val="es-VE"/>
        </w:rPr>
        <w:t>anterior, la Comisión ha considerado que</w:t>
      </w:r>
      <w:r w:rsidR="00B5607A">
        <w:rPr>
          <w:rFonts w:asciiTheme="majorHAnsi" w:hAnsiTheme="majorHAnsi"/>
          <w:sz w:val="20"/>
          <w:szCs w:val="20"/>
          <w:lang w:val="es-VE"/>
        </w:rPr>
        <w:t>,</w:t>
      </w:r>
      <w:r w:rsidR="004A71BE">
        <w:rPr>
          <w:rFonts w:asciiTheme="majorHAnsi" w:hAnsiTheme="majorHAnsi"/>
          <w:sz w:val="20"/>
          <w:szCs w:val="20"/>
          <w:lang w:val="es-VE"/>
        </w:rPr>
        <w:t xml:space="preserve"> además de lo problemático que puede resultar la discrecionalidad en un sistema de reelección o ratificación, un operador de justicia que pretenda ser reelegido o ratificado en sus funciones, corre el riesgo de comportarse de tal modo que obtenga el apoyo de la autoridad encargada de tal decisión, o de que su comportamiento se perciba de este modo por los justiciables</w:t>
      </w:r>
      <w:r w:rsidR="007B7E7E">
        <w:rPr>
          <w:rStyle w:val="FootnoteReference"/>
          <w:rFonts w:asciiTheme="majorHAnsi" w:hAnsiTheme="majorHAnsi"/>
          <w:sz w:val="20"/>
          <w:szCs w:val="20"/>
          <w:lang w:val="es-VE"/>
        </w:rPr>
        <w:footnoteReference w:id="72"/>
      </w:r>
      <w:r w:rsidR="004A71BE">
        <w:rPr>
          <w:rFonts w:asciiTheme="majorHAnsi" w:hAnsiTheme="majorHAnsi"/>
          <w:sz w:val="20"/>
          <w:szCs w:val="20"/>
          <w:lang w:val="es-VE"/>
        </w:rPr>
        <w:t>.</w:t>
      </w:r>
      <w:r>
        <w:rPr>
          <w:rFonts w:asciiTheme="majorHAnsi" w:hAnsiTheme="majorHAnsi"/>
          <w:sz w:val="20"/>
          <w:szCs w:val="20"/>
          <w:lang w:val="es-VE"/>
        </w:rPr>
        <w:t xml:space="preserve"> </w:t>
      </w:r>
    </w:p>
    <w:p w14:paraId="0B256F2C" w14:textId="77777777" w:rsidR="00001DB4" w:rsidRDefault="00001DB4" w:rsidP="00001DB4">
      <w:pPr>
        <w:pStyle w:val="ListParagraph"/>
        <w:rPr>
          <w:rFonts w:asciiTheme="majorHAnsi" w:hAnsiTheme="majorHAnsi"/>
          <w:sz w:val="20"/>
          <w:szCs w:val="20"/>
          <w:lang w:val="es-VE"/>
        </w:rPr>
      </w:pPr>
    </w:p>
    <w:p w14:paraId="3626A0B5" w14:textId="77777777" w:rsidR="0013185B" w:rsidRDefault="0013185B" w:rsidP="00001DB4">
      <w:pPr>
        <w:pStyle w:val="ListParagraph"/>
        <w:rPr>
          <w:rFonts w:asciiTheme="majorHAnsi" w:hAnsiTheme="majorHAnsi"/>
          <w:sz w:val="20"/>
          <w:szCs w:val="20"/>
          <w:lang w:val="es-VE"/>
        </w:rPr>
      </w:pPr>
    </w:p>
    <w:p w14:paraId="02F022AA" w14:textId="77777777" w:rsidR="0013185B" w:rsidRDefault="0013185B" w:rsidP="00001DB4">
      <w:pPr>
        <w:pStyle w:val="ListParagraph"/>
        <w:rPr>
          <w:rFonts w:asciiTheme="majorHAnsi" w:hAnsiTheme="majorHAnsi"/>
          <w:sz w:val="20"/>
          <w:szCs w:val="20"/>
          <w:lang w:val="es-VE"/>
        </w:rPr>
      </w:pPr>
    </w:p>
    <w:p w14:paraId="516E7E3E" w14:textId="77777777" w:rsidR="0013185B" w:rsidRDefault="0013185B" w:rsidP="00001DB4">
      <w:pPr>
        <w:pStyle w:val="ListParagraph"/>
        <w:rPr>
          <w:rFonts w:asciiTheme="majorHAnsi" w:hAnsiTheme="majorHAnsi"/>
          <w:sz w:val="20"/>
          <w:szCs w:val="20"/>
          <w:lang w:val="es-VE"/>
        </w:rPr>
      </w:pPr>
    </w:p>
    <w:p w14:paraId="16EDE9FE" w14:textId="77777777" w:rsidR="0013185B" w:rsidRDefault="0013185B" w:rsidP="00001DB4">
      <w:pPr>
        <w:pStyle w:val="ListParagraph"/>
        <w:rPr>
          <w:rFonts w:asciiTheme="majorHAnsi" w:hAnsiTheme="majorHAnsi"/>
          <w:sz w:val="20"/>
          <w:szCs w:val="20"/>
          <w:lang w:val="es-VE"/>
        </w:rPr>
      </w:pPr>
    </w:p>
    <w:p w14:paraId="40367B1B" w14:textId="77777777" w:rsidR="0013185B" w:rsidRDefault="0013185B" w:rsidP="00001DB4">
      <w:pPr>
        <w:pStyle w:val="ListParagraph"/>
        <w:rPr>
          <w:rFonts w:asciiTheme="majorHAnsi" w:hAnsiTheme="majorHAnsi"/>
          <w:sz w:val="20"/>
          <w:szCs w:val="20"/>
          <w:lang w:val="es-VE"/>
        </w:rPr>
      </w:pPr>
    </w:p>
    <w:p w14:paraId="051D9FBE" w14:textId="77777777" w:rsidR="0013185B" w:rsidRDefault="0013185B" w:rsidP="00001DB4">
      <w:pPr>
        <w:pStyle w:val="ListParagraph"/>
        <w:rPr>
          <w:rFonts w:asciiTheme="majorHAnsi" w:hAnsiTheme="majorHAnsi"/>
          <w:sz w:val="20"/>
          <w:szCs w:val="20"/>
          <w:lang w:val="es-VE"/>
        </w:rPr>
      </w:pPr>
    </w:p>
    <w:p w14:paraId="5C85E2D6" w14:textId="77777777" w:rsidR="00001DB4" w:rsidRDefault="00001DB4" w:rsidP="00CD2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Pr>
          <w:rFonts w:asciiTheme="majorHAnsi" w:hAnsiTheme="majorHAnsi"/>
          <w:sz w:val="20"/>
          <w:szCs w:val="20"/>
          <w:lang w:val="es-VE"/>
        </w:rPr>
        <w:t xml:space="preserve"> El Relator Especial de Naciones Unidas sobre la independencia de magistrados y abogados ha indicado que </w:t>
      </w:r>
      <w:r w:rsidR="00E135CE">
        <w:rPr>
          <w:rFonts w:asciiTheme="majorHAnsi" w:hAnsiTheme="majorHAnsi"/>
          <w:sz w:val="20"/>
          <w:szCs w:val="20"/>
          <w:lang w:val="es-VE"/>
        </w:rPr>
        <w:t>en los E</w:t>
      </w:r>
      <w:r>
        <w:rPr>
          <w:rFonts w:asciiTheme="majorHAnsi" w:hAnsiTheme="majorHAnsi"/>
          <w:sz w:val="20"/>
          <w:szCs w:val="20"/>
          <w:lang w:val="es-VE"/>
        </w:rPr>
        <w:t>stados donde se prevé la relección de magistrados y magistradas, se podría favorecer la reelección automática, a menos que exista una falta grave debidamente establecida por un proceso disciplinario que respete todas las garantías de un juicio justo</w:t>
      </w:r>
      <w:r w:rsidR="00E135CE">
        <w:rPr>
          <w:rStyle w:val="FootnoteReference"/>
          <w:rFonts w:asciiTheme="majorHAnsi" w:hAnsiTheme="majorHAnsi"/>
          <w:sz w:val="20"/>
          <w:szCs w:val="20"/>
          <w:lang w:val="es-VE"/>
        </w:rPr>
        <w:footnoteReference w:id="73"/>
      </w:r>
      <w:r>
        <w:rPr>
          <w:rFonts w:asciiTheme="majorHAnsi" w:hAnsiTheme="majorHAnsi"/>
          <w:sz w:val="20"/>
          <w:szCs w:val="20"/>
          <w:lang w:val="es-VE"/>
        </w:rPr>
        <w:t xml:space="preserve">. </w:t>
      </w:r>
    </w:p>
    <w:p w14:paraId="175C0908" w14:textId="77777777" w:rsidR="00E135CE" w:rsidRDefault="00E135CE" w:rsidP="00E135CE">
      <w:pPr>
        <w:pStyle w:val="ListParagraph"/>
        <w:rPr>
          <w:rFonts w:asciiTheme="majorHAnsi" w:hAnsiTheme="majorHAnsi"/>
          <w:sz w:val="20"/>
          <w:szCs w:val="20"/>
          <w:lang w:val="es-VE"/>
        </w:rPr>
      </w:pPr>
    </w:p>
    <w:p w14:paraId="40D330DA" w14:textId="77777777" w:rsidR="00D6134E" w:rsidRDefault="00E135CE" w:rsidP="006F2A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VE"/>
        </w:rPr>
      </w:pPr>
      <w:r>
        <w:rPr>
          <w:rFonts w:asciiTheme="majorHAnsi" w:hAnsiTheme="majorHAnsi"/>
          <w:sz w:val="20"/>
          <w:szCs w:val="20"/>
          <w:lang w:val="es-VE"/>
        </w:rPr>
        <w:t xml:space="preserve">Tomando en cuenta los estándares anteriores, la Comisión estima que </w:t>
      </w:r>
      <w:r w:rsidR="00527E49">
        <w:rPr>
          <w:rFonts w:asciiTheme="majorHAnsi" w:hAnsiTheme="majorHAnsi"/>
          <w:sz w:val="20"/>
          <w:szCs w:val="20"/>
          <w:lang w:val="es-VE"/>
        </w:rPr>
        <w:t xml:space="preserve">los procesos de ratificación de fiscales y </w:t>
      </w:r>
      <w:r w:rsidR="00084342">
        <w:rPr>
          <w:rFonts w:asciiTheme="majorHAnsi" w:hAnsiTheme="majorHAnsi"/>
          <w:sz w:val="20"/>
          <w:szCs w:val="20"/>
          <w:lang w:val="es-VE"/>
        </w:rPr>
        <w:t xml:space="preserve">operadores judiciales </w:t>
      </w:r>
      <w:r w:rsidR="00527E49">
        <w:rPr>
          <w:rFonts w:asciiTheme="majorHAnsi" w:hAnsiTheme="majorHAnsi"/>
          <w:sz w:val="20"/>
          <w:szCs w:val="20"/>
          <w:lang w:val="es-VE"/>
        </w:rPr>
        <w:t>magistra</w:t>
      </w:r>
      <w:r w:rsidR="006853C4">
        <w:rPr>
          <w:rFonts w:asciiTheme="majorHAnsi" w:hAnsiTheme="majorHAnsi"/>
          <w:sz w:val="20"/>
          <w:szCs w:val="20"/>
          <w:lang w:val="es-VE"/>
        </w:rPr>
        <w:t>dos deben estar exclusivam</w:t>
      </w:r>
      <w:r w:rsidR="003E2A1E">
        <w:rPr>
          <w:rFonts w:asciiTheme="majorHAnsi" w:hAnsiTheme="majorHAnsi"/>
          <w:sz w:val="20"/>
          <w:szCs w:val="20"/>
          <w:lang w:val="es-VE"/>
        </w:rPr>
        <w:t>ente orientados a</w:t>
      </w:r>
      <w:r w:rsidR="00E128DA">
        <w:rPr>
          <w:rFonts w:asciiTheme="majorHAnsi" w:hAnsiTheme="majorHAnsi"/>
          <w:sz w:val="20"/>
          <w:szCs w:val="20"/>
          <w:lang w:val="es-VE"/>
        </w:rPr>
        <w:t xml:space="preserve"> procurar la rendición de cuentas por parte de tales funcionarios y a </w:t>
      </w:r>
      <w:r w:rsidR="003E2A1E">
        <w:rPr>
          <w:rFonts w:asciiTheme="majorHAnsi" w:hAnsiTheme="majorHAnsi"/>
          <w:sz w:val="20"/>
          <w:szCs w:val="20"/>
          <w:lang w:val="es-VE"/>
        </w:rPr>
        <w:t xml:space="preserve">determinar </w:t>
      </w:r>
      <w:r w:rsidR="00404887">
        <w:rPr>
          <w:rFonts w:asciiTheme="majorHAnsi" w:hAnsiTheme="majorHAnsi"/>
          <w:sz w:val="20"/>
          <w:szCs w:val="20"/>
          <w:lang w:val="es-VE"/>
        </w:rPr>
        <w:t>su</w:t>
      </w:r>
      <w:r w:rsidR="003E2A1E">
        <w:rPr>
          <w:rFonts w:asciiTheme="majorHAnsi" w:hAnsiTheme="majorHAnsi"/>
          <w:sz w:val="20"/>
          <w:szCs w:val="20"/>
          <w:lang w:val="es-VE"/>
        </w:rPr>
        <w:t xml:space="preserve"> idoneidad </w:t>
      </w:r>
      <w:r w:rsidR="00E128DA">
        <w:rPr>
          <w:rFonts w:asciiTheme="majorHAnsi" w:hAnsiTheme="majorHAnsi"/>
          <w:sz w:val="20"/>
          <w:szCs w:val="20"/>
          <w:lang w:val="es-VE"/>
        </w:rPr>
        <w:t xml:space="preserve">con criterios objetivos y, por la naturaleza materialmente sancionatoria y su impacto en la independencia judicial, con apego a las </w:t>
      </w:r>
      <w:r w:rsidR="00E469C1">
        <w:rPr>
          <w:rFonts w:asciiTheme="majorHAnsi" w:hAnsiTheme="majorHAnsi"/>
          <w:sz w:val="20"/>
          <w:szCs w:val="20"/>
          <w:lang w:val="es-VE"/>
        </w:rPr>
        <w:t>garantías del debido proceso reconocidas en la Convención Americana, mediante causales previamente establecidas y acordes con el principio de legalidad.</w:t>
      </w:r>
      <w:r w:rsidR="001B2DCA">
        <w:rPr>
          <w:rFonts w:asciiTheme="majorHAnsi" w:hAnsiTheme="majorHAnsi"/>
          <w:sz w:val="20"/>
          <w:szCs w:val="20"/>
          <w:lang w:val="es-VE"/>
        </w:rPr>
        <w:t xml:space="preserve"> </w:t>
      </w:r>
      <w:r w:rsidR="00E469C1" w:rsidRPr="00E469C1">
        <w:rPr>
          <w:rFonts w:asciiTheme="majorHAnsi" w:hAnsiTheme="majorHAnsi"/>
          <w:sz w:val="20"/>
          <w:szCs w:val="20"/>
          <w:lang w:val="es-VE"/>
        </w:rPr>
        <w:t>La falta de</w:t>
      </w:r>
      <w:r w:rsidR="003E2A1E" w:rsidRPr="00E469C1">
        <w:rPr>
          <w:rFonts w:asciiTheme="majorHAnsi" w:hAnsiTheme="majorHAnsi"/>
          <w:sz w:val="20"/>
          <w:szCs w:val="20"/>
          <w:lang w:val="es-VE"/>
        </w:rPr>
        <w:t xml:space="preserve"> ratificación de fiscales y magistrados con base en criterios </w:t>
      </w:r>
      <w:r w:rsidR="00917C59">
        <w:rPr>
          <w:rFonts w:asciiTheme="majorHAnsi" w:hAnsiTheme="majorHAnsi"/>
          <w:sz w:val="20"/>
          <w:szCs w:val="20"/>
          <w:lang w:val="es-VE"/>
        </w:rPr>
        <w:t>vagos que brind</w:t>
      </w:r>
      <w:r w:rsidR="00E80645">
        <w:rPr>
          <w:rFonts w:asciiTheme="majorHAnsi" w:hAnsiTheme="majorHAnsi"/>
          <w:sz w:val="20"/>
          <w:szCs w:val="20"/>
          <w:lang w:val="es-VE"/>
        </w:rPr>
        <w:t>e</w:t>
      </w:r>
      <w:r w:rsidR="00917C59">
        <w:rPr>
          <w:rFonts w:asciiTheme="majorHAnsi" w:hAnsiTheme="majorHAnsi"/>
          <w:sz w:val="20"/>
          <w:szCs w:val="20"/>
          <w:lang w:val="es-VE"/>
        </w:rPr>
        <w:t xml:space="preserve">n un amplio margen de discrecionalidad a la autoridad a cargo, </w:t>
      </w:r>
      <w:r w:rsidR="003E2A1E" w:rsidRPr="00E469C1">
        <w:rPr>
          <w:rFonts w:asciiTheme="majorHAnsi" w:hAnsiTheme="majorHAnsi"/>
          <w:sz w:val="20"/>
          <w:szCs w:val="20"/>
          <w:lang w:val="es-VE"/>
        </w:rPr>
        <w:t xml:space="preserve">afecta la independencia que se les debe garantizar en el ejercicio de sus funciones. </w:t>
      </w:r>
    </w:p>
    <w:p w14:paraId="0105F6D6" w14:textId="77777777" w:rsidR="00C868D0" w:rsidRDefault="00C868D0" w:rsidP="00C868D0">
      <w:pPr>
        <w:pStyle w:val="ListParagraph"/>
        <w:rPr>
          <w:rFonts w:asciiTheme="majorHAnsi" w:hAnsiTheme="majorHAnsi"/>
          <w:sz w:val="20"/>
          <w:szCs w:val="20"/>
          <w:lang w:val="es-VE"/>
        </w:rPr>
      </w:pPr>
    </w:p>
    <w:p w14:paraId="5CDB28D6" w14:textId="77777777" w:rsidR="00161DCA" w:rsidRDefault="00C868D0" w:rsidP="001215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567"/>
        <w:jc w:val="both"/>
        <w:rPr>
          <w:rFonts w:ascii="Cambria" w:hAnsi="Cambria"/>
          <w:sz w:val="20"/>
          <w:szCs w:val="20"/>
          <w:lang w:val="es-ES"/>
        </w:rPr>
      </w:pPr>
      <w:r w:rsidRPr="001E3078">
        <w:rPr>
          <w:rFonts w:ascii="Cambria" w:hAnsi="Cambria"/>
          <w:sz w:val="20"/>
          <w:szCs w:val="20"/>
          <w:lang w:val="es-ES"/>
        </w:rPr>
        <w:t xml:space="preserve">A la luz de las posiciones de las partes y de los hechos establecidos, y tomando en cuenta </w:t>
      </w:r>
      <w:r w:rsidR="008737B8">
        <w:rPr>
          <w:rFonts w:ascii="Cambria" w:hAnsi="Cambria"/>
          <w:sz w:val="20"/>
          <w:szCs w:val="20"/>
          <w:lang w:val="es-ES"/>
        </w:rPr>
        <w:t xml:space="preserve">las consideraciones generales vertidas hasta el momento, </w:t>
      </w:r>
      <w:r w:rsidRPr="001E3078">
        <w:rPr>
          <w:rFonts w:ascii="Cambria" w:hAnsi="Cambria"/>
          <w:sz w:val="20"/>
          <w:szCs w:val="20"/>
          <w:lang w:val="es-ES"/>
        </w:rPr>
        <w:t>la Comisión efectuará el análisis de</w:t>
      </w:r>
      <w:r w:rsidR="008737B8">
        <w:rPr>
          <w:rFonts w:ascii="Cambria" w:hAnsi="Cambria"/>
          <w:sz w:val="20"/>
          <w:szCs w:val="20"/>
          <w:lang w:val="es-ES"/>
        </w:rPr>
        <w:t xml:space="preserve"> los casos concretos </w:t>
      </w:r>
      <w:r w:rsidRPr="001E3078">
        <w:rPr>
          <w:rFonts w:ascii="Cambria" w:hAnsi="Cambria"/>
          <w:sz w:val="20"/>
          <w:szCs w:val="20"/>
          <w:lang w:val="es-ES"/>
        </w:rPr>
        <w:t>en el siguiente</w:t>
      </w:r>
      <w:r>
        <w:rPr>
          <w:rFonts w:ascii="Cambria" w:hAnsi="Cambria"/>
          <w:sz w:val="20"/>
          <w:szCs w:val="20"/>
          <w:lang w:val="es-ES"/>
        </w:rPr>
        <w:t xml:space="preserve"> orden: 1</w:t>
      </w:r>
      <w:r w:rsidR="00C74E0E">
        <w:rPr>
          <w:rFonts w:ascii="Cambria" w:hAnsi="Cambria"/>
          <w:sz w:val="20"/>
          <w:szCs w:val="20"/>
          <w:lang w:val="es-ES"/>
        </w:rPr>
        <w:t>.</w:t>
      </w:r>
      <w:r w:rsidRPr="001E3078">
        <w:rPr>
          <w:rFonts w:ascii="Cambria" w:hAnsi="Cambria"/>
          <w:sz w:val="20"/>
          <w:szCs w:val="20"/>
          <w:lang w:val="es-ES"/>
        </w:rPr>
        <w:t xml:space="preserve"> El derecho a </w:t>
      </w:r>
      <w:r>
        <w:rPr>
          <w:rFonts w:ascii="Cambria" w:hAnsi="Cambria"/>
          <w:sz w:val="20"/>
          <w:szCs w:val="20"/>
          <w:lang w:val="es-ES"/>
        </w:rPr>
        <w:t>conocer previa y detalladamente la acusación formulada y de tener el tiempo y los medios adecuados para la defensa: 2. El derecho a contar con decisiones debidamente motivadas y el principio de legalidad;</w:t>
      </w:r>
      <w:r w:rsidR="006816D4">
        <w:rPr>
          <w:rFonts w:ascii="Cambria" w:hAnsi="Cambria"/>
          <w:sz w:val="20"/>
          <w:szCs w:val="20"/>
          <w:lang w:val="es-ES"/>
        </w:rPr>
        <w:t xml:space="preserve"> y</w:t>
      </w:r>
      <w:r>
        <w:rPr>
          <w:rFonts w:ascii="Cambria" w:hAnsi="Cambria"/>
          <w:sz w:val="20"/>
          <w:szCs w:val="20"/>
          <w:lang w:val="es-ES"/>
        </w:rPr>
        <w:t xml:space="preserve"> 3. El derecho a recurrir el fallo y la protección judicial</w:t>
      </w:r>
      <w:r w:rsidR="00D03840">
        <w:rPr>
          <w:rFonts w:ascii="Cambria" w:hAnsi="Cambria"/>
          <w:sz w:val="20"/>
          <w:szCs w:val="20"/>
          <w:lang w:val="es-ES"/>
        </w:rPr>
        <w:t>. Finalmente</w:t>
      </w:r>
      <w:r w:rsidR="001B2DCA">
        <w:rPr>
          <w:rFonts w:ascii="Cambria" w:hAnsi="Cambria"/>
          <w:sz w:val="20"/>
          <w:szCs w:val="20"/>
          <w:lang w:val="es-ES"/>
        </w:rPr>
        <w:t>,</w:t>
      </w:r>
      <w:r w:rsidR="00D03840">
        <w:rPr>
          <w:rFonts w:ascii="Cambria" w:hAnsi="Cambria"/>
          <w:sz w:val="20"/>
          <w:szCs w:val="20"/>
          <w:lang w:val="es-ES"/>
        </w:rPr>
        <w:t xml:space="preserve"> la CIDH se referirá a</w:t>
      </w:r>
      <w:r w:rsidR="00A35124">
        <w:rPr>
          <w:rFonts w:ascii="Cambria" w:hAnsi="Cambria"/>
          <w:sz w:val="20"/>
          <w:szCs w:val="20"/>
          <w:lang w:val="es-ES"/>
        </w:rPr>
        <w:t>l derecho de acceder a la función pública</w:t>
      </w:r>
      <w:r w:rsidR="001B2DCA">
        <w:rPr>
          <w:rFonts w:ascii="Cambria" w:hAnsi="Cambria"/>
          <w:sz w:val="20"/>
          <w:szCs w:val="20"/>
          <w:lang w:val="es-ES"/>
        </w:rPr>
        <w:t>.</w:t>
      </w:r>
      <w:r w:rsidR="00D03840">
        <w:rPr>
          <w:rFonts w:ascii="Cambria" w:hAnsi="Cambria"/>
          <w:sz w:val="20"/>
          <w:szCs w:val="20"/>
          <w:lang w:val="es-ES"/>
        </w:rPr>
        <w:t xml:space="preserve"> </w:t>
      </w:r>
    </w:p>
    <w:p w14:paraId="5EBA8351" w14:textId="77777777" w:rsidR="008F0B5B" w:rsidRPr="00D03840" w:rsidRDefault="008F0B5B" w:rsidP="008F0B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p>
    <w:p w14:paraId="344C9D1B" w14:textId="77777777" w:rsidR="000D3F36" w:rsidRPr="000D3F36" w:rsidRDefault="00160164" w:rsidP="003E17D7">
      <w:pPr>
        <w:pStyle w:val="Heading2"/>
        <w:numPr>
          <w:ilvl w:val="0"/>
          <w:numId w:val="60"/>
        </w:numPr>
        <w:spacing w:before="0" w:after="0"/>
        <w:ind w:left="1440" w:hanging="810"/>
        <w:jc w:val="both"/>
        <w:rPr>
          <w:rFonts w:asciiTheme="majorHAnsi" w:hAnsiTheme="majorHAnsi"/>
          <w:i w:val="0"/>
          <w:sz w:val="20"/>
          <w:szCs w:val="20"/>
          <w:lang w:val="es-ES_tradnl"/>
        </w:rPr>
      </w:pPr>
      <w:bookmarkStart w:id="22" w:name="_Toc527450132"/>
      <w:r w:rsidRPr="00160164">
        <w:rPr>
          <w:rFonts w:asciiTheme="majorHAnsi" w:hAnsiTheme="majorHAnsi"/>
          <w:i w:val="0"/>
          <w:sz w:val="20"/>
          <w:szCs w:val="20"/>
          <w:lang w:val="es-ES_tradnl"/>
        </w:rPr>
        <w:t>El derecho a las garantías judiciales, el principio de legalidad y la protección judicial</w:t>
      </w:r>
      <w:bookmarkEnd w:id="22"/>
      <w:r w:rsidRPr="00160164">
        <w:rPr>
          <w:rFonts w:asciiTheme="majorHAnsi" w:hAnsiTheme="majorHAnsi"/>
          <w:i w:val="0"/>
          <w:sz w:val="20"/>
          <w:szCs w:val="20"/>
          <w:lang w:val="es-ES_tradnl"/>
        </w:rPr>
        <w:t xml:space="preserve"> </w:t>
      </w:r>
    </w:p>
    <w:p w14:paraId="7A33F71C" w14:textId="77777777" w:rsidR="000D3F36" w:rsidRPr="00FF59BD" w:rsidRDefault="000D3F36" w:rsidP="001215EE">
      <w:pPr>
        <w:pStyle w:val="Heading3"/>
        <w:numPr>
          <w:ilvl w:val="0"/>
          <w:numId w:val="62"/>
        </w:numPr>
        <w:ind w:left="1560" w:hanging="993"/>
        <w:rPr>
          <w:rFonts w:asciiTheme="majorHAnsi" w:hAnsiTheme="majorHAnsi"/>
          <w:sz w:val="20"/>
          <w:szCs w:val="20"/>
          <w:lang w:val="es-ES_tradnl"/>
        </w:rPr>
      </w:pPr>
      <w:bookmarkStart w:id="23" w:name="_Toc527450133"/>
      <w:r w:rsidRPr="00EA3835">
        <w:rPr>
          <w:rFonts w:asciiTheme="majorHAnsi" w:hAnsiTheme="majorHAnsi"/>
          <w:sz w:val="20"/>
          <w:szCs w:val="20"/>
          <w:lang w:val="es-ES_tradnl"/>
        </w:rPr>
        <w:t>Derecho a conocer previa y detalladamente la acusaci</w:t>
      </w:r>
      <w:r w:rsidRPr="00FF59BD">
        <w:rPr>
          <w:rFonts w:asciiTheme="majorHAnsi" w:hAnsiTheme="majorHAnsi"/>
          <w:sz w:val="20"/>
          <w:szCs w:val="20"/>
          <w:lang w:val="es-ES_tradnl"/>
        </w:rPr>
        <w:t>ón formulada</w:t>
      </w:r>
      <w:r w:rsidRPr="00FF59BD">
        <w:rPr>
          <w:rStyle w:val="FootnoteReference"/>
          <w:rFonts w:asciiTheme="majorHAnsi" w:hAnsiTheme="majorHAnsi"/>
          <w:sz w:val="20"/>
          <w:szCs w:val="20"/>
          <w:lang w:val="es-ES_tradnl"/>
        </w:rPr>
        <w:footnoteReference w:id="74"/>
      </w:r>
      <w:r w:rsidRPr="00FF59BD">
        <w:rPr>
          <w:rFonts w:asciiTheme="majorHAnsi" w:hAnsiTheme="majorHAnsi"/>
          <w:sz w:val="20"/>
          <w:szCs w:val="20"/>
          <w:lang w:val="es-ES_tradnl"/>
        </w:rPr>
        <w:t xml:space="preserve"> y de tener el tiempo y los medios adecuados para la defensa</w:t>
      </w:r>
      <w:r w:rsidRPr="00FF59BD">
        <w:rPr>
          <w:rStyle w:val="FootnoteReference"/>
          <w:rFonts w:asciiTheme="majorHAnsi" w:hAnsiTheme="majorHAnsi"/>
          <w:sz w:val="20"/>
          <w:szCs w:val="20"/>
          <w:lang w:val="es-ES_tradnl"/>
        </w:rPr>
        <w:footnoteReference w:id="75"/>
      </w:r>
      <w:bookmarkEnd w:id="23"/>
    </w:p>
    <w:p w14:paraId="369BF95D" w14:textId="77777777" w:rsidR="000D3F36" w:rsidRPr="001E4A8B" w:rsidRDefault="000D3F36" w:rsidP="000D3F36">
      <w:pPr>
        <w:rPr>
          <w:lang w:val="es-ES_tradnl"/>
        </w:rPr>
      </w:pPr>
    </w:p>
    <w:p w14:paraId="18BA38EF" w14:textId="77777777" w:rsidR="00390EEB" w:rsidRDefault="000D3F36" w:rsidP="00390E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910616">
        <w:rPr>
          <w:rFonts w:ascii="Cambria" w:hAnsi="Cambria"/>
          <w:sz w:val="20"/>
          <w:szCs w:val="20"/>
          <w:lang w:val="es-VE"/>
        </w:rPr>
        <w:t>L</w:t>
      </w:r>
      <w:r w:rsidRPr="00910616" w:rsidDel="00044636">
        <w:rPr>
          <w:rFonts w:ascii="Cambria" w:hAnsi="Cambria"/>
          <w:sz w:val="20"/>
          <w:szCs w:val="20"/>
          <w:lang w:val="es-VE"/>
        </w:rPr>
        <w:t xml:space="preserve">a </w:t>
      </w:r>
      <w:r w:rsidRPr="00910616" w:rsidDel="00044636">
        <w:rPr>
          <w:rFonts w:ascii="Cambria" w:hAnsi="Cambria"/>
          <w:sz w:val="20"/>
          <w:szCs w:val="20"/>
          <w:lang w:val="es-ES"/>
        </w:rPr>
        <w:t>Comisión</w:t>
      </w:r>
      <w:r w:rsidRPr="00910616" w:rsidDel="00044636">
        <w:rPr>
          <w:rFonts w:ascii="Cambria" w:hAnsi="Cambria"/>
          <w:sz w:val="20"/>
          <w:szCs w:val="20"/>
          <w:lang w:val="es-VE"/>
        </w:rPr>
        <w:t xml:space="preserve"> recuerda que</w:t>
      </w:r>
      <w:r w:rsidRPr="00910616">
        <w:rPr>
          <w:rFonts w:ascii="Cambria" w:hAnsi="Cambria"/>
          <w:sz w:val="20"/>
          <w:szCs w:val="20"/>
          <w:lang w:val="es-VE"/>
        </w:rPr>
        <w:t xml:space="preserve"> el derecho a la defensa </w:t>
      </w:r>
      <w:r w:rsidRPr="00910616" w:rsidDel="00044636">
        <w:rPr>
          <w:rFonts w:ascii="Cambria" w:hAnsi="Cambria"/>
          <w:sz w:val="20"/>
          <w:szCs w:val="20"/>
          <w:lang w:val="es-VE"/>
        </w:rPr>
        <w:t xml:space="preserve">implica que </w:t>
      </w:r>
      <w:r w:rsidRPr="00910616">
        <w:rPr>
          <w:rFonts w:ascii="Cambria" w:hAnsi="Cambria"/>
          <w:sz w:val="20"/>
          <w:szCs w:val="20"/>
          <w:lang w:val="es-ES"/>
        </w:rPr>
        <w:t xml:space="preserve">la persona sometida a un proceso, incluyendo uno de carácter administrativo, pueda defender sus intereses o derechos en forma efectiva y en “condiciones de igualdad procesal (…) </w:t>
      </w:r>
      <w:r w:rsidRPr="00910616">
        <w:rPr>
          <w:rFonts w:ascii="Cambria" w:hAnsi="Cambria"/>
          <w:sz w:val="20"/>
          <w:szCs w:val="20"/>
          <w:lang w:val="es-ES_tradnl"/>
        </w:rPr>
        <w:t>siendo plenamente informado de las acusaciones que se formulan en su contra</w:t>
      </w:r>
      <w:r w:rsidRPr="00910616">
        <w:rPr>
          <w:rStyle w:val="FootnoteReference"/>
          <w:rFonts w:ascii="Cambria" w:hAnsi="Cambria"/>
          <w:sz w:val="20"/>
          <w:szCs w:val="20"/>
        </w:rPr>
        <w:footnoteReference w:id="76"/>
      </w:r>
      <w:r w:rsidRPr="00910616">
        <w:rPr>
          <w:rFonts w:ascii="Cambria" w:hAnsi="Cambria"/>
          <w:sz w:val="20"/>
          <w:szCs w:val="20"/>
          <w:lang w:val="es-ES_tradnl"/>
        </w:rPr>
        <w:t>”</w:t>
      </w:r>
      <w:r w:rsidRPr="00910616">
        <w:rPr>
          <w:rFonts w:ascii="Cambria" w:hAnsi="Cambria"/>
          <w:sz w:val="20"/>
          <w:szCs w:val="20"/>
          <w:lang w:val="es-CL"/>
        </w:rPr>
        <w:t>.</w:t>
      </w:r>
      <w:r w:rsidRPr="00910616">
        <w:rPr>
          <w:rFonts w:ascii="Cambria" w:hAnsi="Cambria"/>
          <w:sz w:val="20"/>
          <w:szCs w:val="20"/>
          <w:lang w:val="es-ES"/>
        </w:rPr>
        <w:t xml:space="preserve"> La Corte </w:t>
      </w:r>
      <w:r w:rsidRPr="00910616">
        <w:rPr>
          <w:rFonts w:ascii="Cambria" w:hAnsi="Cambria"/>
          <w:sz w:val="20"/>
          <w:szCs w:val="20"/>
          <w:lang w:val="es-VE"/>
        </w:rPr>
        <w:t xml:space="preserve">ha señalado que el derecho a la defensa debe necesariamente poder ejercerse desde que se señala a una persona como posible autor o partícipe de un hecho punible y sólo culmina cuando </w:t>
      </w:r>
      <w:r w:rsidRPr="00910616">
        <w:rPr>
          <w:rFonts w:ascii="Cambria" w:hAnsi="Cambria"/>
          <w:sz w:val="20"/>
          <w:szCs w:val="20"/>
          <w:lang w:val="es-ES"/>
        </w:rPr>
        <w:t>finaliza</w:t>
      </w:r>
      <w:r w:rsidRPr="00910616">
        <w:rPr>
          <w:rFonts w:ascii="Cambria" w:hAnsi="Cambria"/>
          <w:sz w:val="20"/>
          <w:szCs w:val="20"/>
          <w:lang w:val="es-VE"/>
        </w:rPr>
        <w:t xml:space="preserve"> el proceso</w:t>
      </w:r>
      <w:bookmarkStart w:id="24" w:name="_Ref247953326"/>
      <w:r w:rsidRPr="00910616">
        <w:rPr>
          <w:rStyle w:val="FootnoteReference"/>
          <w:rFonts w:ascii="Cambria" w:hAnsi="Cambria"/>
          <w:sz w:val="20"/>
          <w:szCs w:val="20"/>
        </w:rPr>
        <w:footnoteReference w:id="77"/>
      </w:r>
      <w:bookmarkEnd w:id="24"/>
      <w:r w:rsidRPr="00910616">
        <w:rPr>
          <w:rFonts w:ascii="Cambria" w:hAnsi="Cambria"/>
          <w:sz w:val="20"/>
          <w:szCs w:val="20"/>
          <w:lang w:val="es-VE"/>
        </w:rPr>
        <w:t>. Conforme a lo indicado anteriormente, esto resulta igualmente aplicable a procesos que comportan una sanción.</w:t>
      </w:r>
    </w:p>
    <w:p w14:paraId="3B26DBA0" w14:textId="77777777" w:rsidR="00390EEB" w:rsidRDefault="00390EEB" w:rsidP="00390E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5CC468CF" w14:textId="77777777" w:rsidR="000D3F36" w:rsidRPr="00390EEB" w:rsidRDefault="000D3F36" w:rsidP="00FB5A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390EEB">
        <w:rPr>
          <w:rFonts w:ascii="Cambria" w:hAnsi="Cambria"/>
          <w:sz w:val="20"/>
          <w:szCs w:val="20"/>
          <w:lang w:val="es-ES"/>
        </w:rPr>
        <w:t>La CIDH observa que en el presente caso, durante el procedimiento de evaluación y ratificación, el C</w:t>
      </w:r>
      <w:r w:rsidR="00B010FA">
        <w:rPr>
          <w:rFonts w:ascii="Cambria" w:hAnsi="Cambria"/>
          <w:sz w:val="20"/>
          <w:szCs w:val="20"/>
          <w:lang w:val="es-ES"/>
        </w:rPr>
        <w:t>NM</w:t>
      </w:r>
      <w:r w:rsidRPr="00390EEB">
        <w:rPr>
          <w:rFonts w:ascii="Cambria" w:hAnsi="Cambria"/>
          <w:sz w:val="20"/>
          <w:szCs w:val="20"/>
          <w:lang w:val="es-ES"/>
        </w:rPr>
        <w:t xml:space="preserve"> nunca formuló cargos o acusación en contra de las presuntas víctimas, </w:t>
      </w:r>
      <w:r w:rsidR="00FB5A91">
        <w:rPr>
          <w:rFonts w:ascii="Cambria" w:hAnsi="Cambria"/>
          <w:sz w:val="20"/>
          <w:szCs w:val="20"/>
          <w:lang w:val="es-ES"/>
        </w:rPr>
        <w:t xml:space="preserve">ni </w:t>
      </w:r>
      <w:r w:rsidR="00B010FA">
        <w:rPr>
          <w:rFonts w:ascii="Cambria" w:hAnsi="Cambria"/>
          <w:sz w:val="20"/>
          <w:szCs w:val="20"/>
          <w:lang w:val="es-ES"/>
        </w:rPr>
        <w:t xml:space="preserve">se </w:t>
      </w:r>
      <w:r w:rsidR="00FB5A91">
        <w:rPr>
          <w:rFonts w:ascii="Cambria" w:hAnsi="Cambria"/>
          <w:sz w:val="20"/>
          <w:szCs w:val="20"/>
          <w:lang w:val="es-ES"/>
        </w:rPr>
        <w:t xml:space="preserve">les informó de denuncias o quejas en su contra que les permitieran presentar pruebas o descargos respecto a las mismas. La Comisión recuerda que el diseño del proceso de evaluación y ratificación, </w:t>
      </w:r>
      <w:r w:rsidRPr="00390EEB">
        <w:rPr>
          <w:rFonts w:ascii="Cambria" w:hAnsi="Cambria"/>
          <w:sz w:val="20"/>
          <w:szCs w:val="20"/>
          <w:lang w:val="es-ES"/>
        </w:rPr>
        <w:t xml:space="preserve">tal como estaba contemplado en el marco normativo vigente en el momento de la no ratificación de </w:t>
      </w:r>
      <w:r w:rsidR="00B010FA">
        <w:rPr>
          <w:rFonts w:ascii="Cambria" w:hAnsi="Cambria"/>
          <w:sz w:val="20"/>
          <w:szCs w:val="20"/>
          <w:lang w:val="es-ES"/>
        </w:rPr>
        <w:t xml:space="preserve">todas </w:t>
      </w:r>
      <w:r w:rsidRPr="00390EEB">
        <w:rPr>
          <w:rFonts w:ascii="Cambria" w:hAnsi="Cambria"/>
          <w:sz w:val="20"/>
          <w:szCs w:val="20"/>
          <w:lang w:val="es-ES"/>
        </w:rPr>
        <w:t>las presuntas víctimas</w:t>
      </w:r>
      <w:r w:rsidR="00B010FA">
        <w:rPr>
          <w:rFonts w:ascii="Cambria" w:hAnsi="Cambria"/>
          <w:sz w:val="20"/>
          <w:szCs w:val="20"/>
          <w:lang w:val="es-ES"/>
        </w:rPr>
        <w:t xml:space="preserve"> del presente caso</w:t>
      </w:r>
      <w:r w:rsidRPr="00390EEB">
        <w:rPr>
          <w:rFonts w:ascii="Cambria" w:hAnsi="Cambria"/>
          <w:sz w:val="20"/>
          <w:szCs w:val="20"/>
          <w:lang w:val="es-ES"/>
        </w:rPr>
        <w:t xml:space="preserve">, no preveía la formulación de cargos o de una acusación que permitiera a los magistrados conocer los motivos que podría fundamentar la decisión de ratificarlos o no por parte del Consejo Nacional de la Magistratura, lo que materialmente imposibilitaba que los mismos pudieran defenderse o presentar medios probatorios pues no tenían conocimiento de los cargos por los que estaban siendo evaluados. </w:t>
      </w:r>
      <w:r w:rsidR="006937C4">
        <w:rPr>
          <w:rFonts w:ascii="Cambria" w:hAnsi="Cambria"/>
          <w:sz w:val="20"/>
          <w:szCs w:val="20"/>
          <w:lang w:val="es-ES"/>
        </w:rPr>
        <w:t xml:space="preserve">De esta manera, </w:t>
      </w:r>
      <w:r w:rsidR="004E3116">
        <w:rPr>
          <w:rFonts w:ascii="Cambria" w:hAnsi="Cambria"/>
          <w:sz w:val="20"/>
          <w:szCs w:val="20"/>
          <w:lang w:val="es-ES"/>
        </w:rPr>
        <w:t xml:space="preserve">independientemente de si algunas de las presuntas víctimas pudieron acceder a la entrevista previa, la misma no puede entenderse como un mecanismo adecuado de defensa en las referidas circunstancias de no conocer los motivos puntuales por los cuales podría disponerse su no ratificación. </w:t>
      </w:r>
      <w:r w:rsidR="00152794">
        <w:rPr>
          <w:rFonts w:ascii="Cambria" w:hAnsi="Cambria"/>
          <w:sz w:val="20"/>
          <w:szCs w:val="20"/>
          <w:lang w:val="es-ES"/>
        </w:rPr>
        <w:t xml:space="preserve">Como será analizado más adelante respecto del principio de legalidad, la CIDH observa que los criterios establecidos normativamente para el proceso de evaluación, en abstracto, no logran subsanar la ausencia de una notificación individualizada </w:t>
      </w:r>
      <w:r w:rsidR="00FF7CCA">
        <w:rPr>
          <w:rFonts w:ascii="Cambria" w:hAnsi="Cambria"/>
          <w:sz w:val="20"/>
          <w:szCs w:val="20"/>
          <w:lang w:val="es-ES"/>
        </w:rPr>
        <w:t xml:space="preserve">con posibilidad real de defensa, </w:t>
      </w:r>
      <w:r w:rsidR="00152794">
        <w:rPr>
          <w:rFonts w:ascii="Cambria" w:hAnsi="Cambria"/>
          <w:sz w:val="20"/>
          <w:szCs w:val="20"/>
          <w:lang w:val="es-ES"/>
        </w:rPr>
        <w:t>sobre los aspectos que estaban siendo materia de análisis</w:t>
      </w:r>
      <w:r w:rsidR="00FF7CCA">
        <w:rPr>
          <w:rFonts w:ascii="Cambria" w:hAnsi="Cambria"/>
          <w:sz w:val="20"/>
          <w:szCs w:val="20"/>
          <w:lang w:val="es-ES"/>
        </w:rPr>
        <w:t xml:space="preserve"> y que determinarían, en el caso concreto su posible no ratificación. </w:t>
      </w:r>
    </w:p>
    <w:p w14:paraId="75F5A550" w14:textId="77777777" w:rsidR="000D3F36" w:rsidRPr="00DC460F" w:rsidRDefault="000D3F36" w:rsidP="000D3F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6BD3DF47" w14:textId="77777777" w:rsidR="000D3F36" w:rsidRPr="008A6075" w:rsidRDefault="000D3F36" w:rsidP="000D3F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DC460F">
        <w:rPr>
          <w:rFonts w:ascii="Cambria" w:hAnsi="Cambria"/>
          <w:sz w:val="20"/>
          <w:szCs w:val="20"/>
          <w:lang w:val="es-ES"/>
        </w:rPr>
        <w:t>En virtud de lo anterior, la CIDH concluye que el Estado violó los artículos 8.2 b) y 8.2 c) de la Conven</w:t>
      </w:r>
      <w:r>
        <w:rPr>
          <w:rFonts w:ascii="Cambria" w:hAnsi="Cambria"/>
          <w:sz w:val="20"/>
          <w:szCs w:val="20"/>
          <w:lang w:val="es-ES"/>
        </w:rPr>
        <w:t xml:space="preserve">ción Americana en relación con </w:t>
      </w:r>
      <w:r w:rsidRPr="00DC460F">
        <w:rPr>
          <w:rFonts w:ascii="Cambria" w:hAnsi="Cambria"/>
          <w:sz w:val="20"/>
          <w:szCs w:val="20"/>
          <w:lang w:val="es-ES"/>
        </w:rPr>
        <w:t>l</w:t>
      </w:r>
      <w:r>
        <w:rPr>
          <w:rFonts w:ascii="Cambria" w:hAnsi="Cambria"/>
          <w:sz w:val="20"/>
          <w:szCs w:val="20"/>
          <w:lang w:val="es-ES"/>
        </w:rPr>
        <w:t>os</w:t>
      </w:r>
      <w:r w:rsidRPr="00DC460F">
        <w:rPr>
          <w:rFonts w:ascii="Cambria" w:hAnsi="Cambria"/>
          <w:sz w:val="20"/>
          <w:szCs w:val="20"/>
          <w:lang w:val="es-ES"/>
        </w:rPr>
        <w:t xml:space="preserve"> artículo</w:t>
      </w:r>
      <w:r>
        <w:rPr>
          <w:rFonts w:ascii="Cambria" w:hAnsi="Cambria"/>
          <w:sz w:val="20"/>
          <w:szCs w:val="20"/>
          <w:lang w:val="es-ES"/>
        </w:rPr>
        <w:t>s</w:t>
      </w:r>
      <w:r w:rsidRPr="00DC460F">
        <w:rPr>
          <w:rFonts w:ascii="Cambria" w:hAnsi="Cambria"/>
          <w:sz w:val="20"/>
          <w:szCs w:val="20"/>
          <w:lang w:val="es-ES"/>
        </w:rPr>
        <w:t xml:space="preserve"> 1.1 </w:t>
      </w:r>
      <w:r>
        <w:rPr>
          <w:rFonts w:ascii="Cambria" w:hAnsi="Cambria"/>
          <w:sz w:val="20"/>
          <w:szCs w:val="20"/>
          <w:lang w:val="es-ES"/>
        </w:rPr>
        <w:t xml:space="preserve">y 2 </w:t>
      </w:r>
      <w:r w:rsidRPr="00DC460F">
        <w:rPr>
          <w:rFonts w:ascii="Cambria" w:hAnsi="Cambria"/>
          <w:sz w:val="20"/>
          <w:szCs w:val="20"/>
          <w:lang w:val="es-ES"/>
        </w:rPr>
        <w:t xml:space="preserve">del mismo instrumento en perjuicio de </w:t>
      </w:r>
      <w:r w:rsidRPr="00DC460F">
        <w:rPr>
          <w:rFonts w:asciiTheme="majorHAnsi" w:hAnsiTheme="majorHAnsi"/>
          <w:sz w:val="20"/>
          <w:szCs w:val="20"/>
          <w:lang w:val="es-VE"/>
        </w:rPr>
        <w:t xml:space="preserve">Jorge Luis Cuya Lavy, Jean Aubert Díaz Alvarado, Marta Silvana Rodríguez Ricse y </w:t>
      </w:r>
      <w:r w:rsidRPr="00DC460F">
        <w:rPr>
          <w:rFonts w:ascii="Cambria" w:hAnsi="Cambria"/>
          <w:color w:val="000000" w:themeColor="text1"/>
          <w:sz w:val="20"/>
          <w:szCs w:val="20"/>
          <w:lang w:val="es-VE"/>
        </w:rPr>
        <w:t>Walter Antonio Valenzuela Cerna</w:t>
      </w:r>
      <w:r w:rsidRPr="00DC460F">
        <w:rPr>
          <w:rFonts w:ascii="Cambria" w:hAnsi="Cambria"/>
          <w:sz w:val="20"/>
          <w:szCs w:val="20"/>
          <w:lang w:val="es-ES"/>
        </w:rPr>
        <w:t>.</w:t>
      </w:r>
    </w:p>
    <w:p w14:paraId="3A299251" w14:textId="77777777" w:rsidR="00A726D2" w:rsidRPr="008A6075" w:rsidRDefault="00160164" w:rsidP="00EA2F2E">
      <w:pPr>
        <w:pStyle w:val="Heading3"/>
        <w:numPr>
          <w:ilvl w:val="0"/>
          <w:numId w:val="62"/>
        </w:numPr>
        <w:ind w:left="1134" w:hanging="567"/>
        <w:rPr>
          <w:rFonts w:asciiTheme="majorHAnsi" w:hAnsiTheme="majorHAnsi"/>
          <w:sz w:val="20"/>
          <w:szCs w:val="20"/>
          <w:lang w:val="es-ES_tradnl"/>
        </w:rPr>
      </w:pPr>
      <w:bookmarkStart w:id="25" w:name="_Toc527450134"/>
      <w:r w:rsidRPr="008A6075">
        <w:rPr>
          <w:rFonts w:asciiTheme="majorHAnsi" w:hAnsiTheme="majorHAnsi"/>
          <w:sz w:val="20"/>
          <w:szCs w:val="20"/>
          <w:lang w:val="es-ES_tradnl"/>
        </w:rPr>
        <w:t xml:space="preserve">En cuanto al </w:t>
      </w:r>
      <w:r w:rsidR="00A726D2" w:rsidRPr="008A6075">
        <w:rPr>
          <w:rFonts w:asciiTheme="majorHAnsi" w:hAnsiTheme="majorHAnsi"/>
          <w:sz w:val="20"/>
          <w:szCs w:val="20"/>
          <w:lang w:val="es-ES_tradnl"/>
        </w:rPr>
        <w:t>derecho a contar con decisiones debidamente motivadas</w:t>
      </w:r>
      <w:r w:rsidR="0057224B" w:rsidRPr="008A6075">
        <w:rPr>
          <w:rStyle w:val="FootnoteReference"/>
          <w:rFonts w:asciiTheme="majorHAnsi" w:hAnsiTheme="majorHAnsi"/>
          <w:sz w:val="20"/>
          <w:szCs w:val="20"/>
          <w:lang w:val="es-ES"/>
        </w:rPr>
        <w:footnoteReference w:id="78"/>
      </w:r>
      <w:r w:rsidR="00A726D2" w:rsidRPr="008A6075">
        <w:rPr>
          <w:rFonts w:asciiTheme="majorHAnsi" w:hAnsiTheme="majorHAnsi"/>
          <w:sz w:val="20"/>
          <w:szCs w:val="20"/>
          <w:lang w:val="es-ES_tradnl"/>
        </w:rPr>
        <w:t xml:space="preserve"> y el principio de legalidad</w:t>
      </w:r>
      <w:r w:rsidR="001D013D" w:rsidRPr="008A6075">
        <w:rPr>
          <w:rStyle w:val="FootnoteReference"/>
          <w:rFonts w:asciiTheme="majorHAnsi" w:hAnsiTheme="majorHAnsi"/>
          <w:sz w:val="20"/>
          <w:szCs w:val="20"/>
          <w:lang w:val="es-ES_tradnl"/>
        </w:rPr>
        <w:footnoteReference w:id="79"/>
      </w:r>
      <w:bookmarkEnd w:id="25"/>
      <w:r w:rsidR="00A726D2" w:rsidRPr="008A6075">
        <w:rPr>
          <w:rFonts w:asciiTheme="majorHAnsi" w:hAnsiTheme="majorHAnsi"/>
          <w:sz w:val="20"/>
          <w:szCs w:val="20"/>
          <w:lang w:val="es-ES_tradnl"/>
        </w:rPr>
        <w:t xml:space="preserve"> </w:t>
      </w:r>
    </w:p>
    <w:p w14:paraId="67DEFA13" w14:textId="77777777" w:rsidR="00A726D2" w:rsidRDefault="00A726D2" w:rsidP="00CF42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_tradnl"/>
        </w:rPr>
      </w:pPr>
    </w:p>
    <w:p w14:paraId="702CA422"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La CIDH ha indicado que en el marco de procedimientos disciplinarios en contra de operadores de justicia deben existir reglas claras en cuanto a las causales y procedimiento de separación, y su ausencia, además de fomentar dudas sobre la independencia, puede dar lugar a actuaciones arbitrarias de abuso de poder, con repercusiones directas en los derechos al debido proceso y a la legalidad</w:t>
      </w:r>
      <w:r w:rsidRPr="00910616">
        <w:rPr>
          <w:rFonts w:ascii="Cambria" w:hAnsi="Cambria"/>
          <w:sz w:val="20"/>
          <w:szCs w:val="20"/>
          <w:vertAlign w:val="superscript"/>
        </w:rPr>
        <w:footnoteReference w:id="80"/>
      </w:r>
      <w:r>
        <w:rPr>
          <w:rFonts w:ascii="Cambria" w:hAnsi="Cambria" w:cs="Verdana"/>
          <w:sz w:val="20"/>
          <w:szCs w:val="20"/>
          <w:lang w:val="es-UY"/>
        </w:rPr>
        <w:t>.</w:t>
      </w:r>
      <w:r w:rsidRPr="005318F9">
        <w:rPr>
          <w:rFonts w:ascii="Cambria" w:hAnsi="Cambria"/>
          <w:sz w:val="20"/>
          <w:szCs w:val="20"/>
          <w:lang w:val="es-ES_tradnl"/>
        </w:rPr>
        <w:t xml:space="preserve"> </w:t>
      </w:r>
      <w:r w:rsidRPr="001E3078">
        <w:rPr>
          <w:rFonts w:ascii="Cambria" w:hAnsi="Cambria"/>
          <w:sz w:val="20"/>
          <w:szCs w:val="20"/>
          <w:lang w:val="es-ES_tradnl"/>
        </w:rPr>
        <w:t>La Comisión ha indicado que el cumplimiento del principio de legalidad permite a las personas determinar efectivamente su conducta de acuerdo con la ley</w:t>
      </w:r>
      <w:r w:rsidRPr="001E3078">
        <w:rPr>
          <w:rStyle w:val="FootnoteReference"/>
          <w:rFonts w:ascii="Cambria" w:hAnsi="Cambria"/>
          <w:sz w:val="20"/>
          <w:szCs w:val="20"/>
          <w:lang w:val="es-ES_tradnl"/>
        </w:rPr>
        <w:footnoteReference w:id="81"/>
      </w:r>
      <w:r w:rsidRPr="001E3078">
        <w:rPr>
          <w:rFonts w:ascii="Cambria" w:hAnsi="Cambria"/>
          <w:sz w:val="20"/>
          <w:szCs w:val="20"/>
          <w:lang w:val="es-ES_tradnl"/>
        </w:rPr>
        <w:t>. Según ha afirmado la CIDH, “el principio de legalidad tiene un desarrollo específico en la tipicidad, la cual garantiza, por un lado, la libertad y seguridad individuales al establecer en forma anticipada, clara e inequívoca cuáles comportamientos son sancionados y, por otro, protege la seguridad jurídica”</w:t>
      </w:r>
      <w:r w:rsidRPr="001E3078">
        <w:rPr>
          <w:rStyle w:val="FootnoteReference"/>
          <w:rFonts w:ascii="Cambria" w:hAnsi="Cambria"/>
          <w:sz w:val="20"/>
          <w:szCs w:val="20"/>
          <w:lang w:val="es-ES_tradnl"/>
        </w:rPr>
        <w:footnoteReference w:id="82"/>
      </w:r>
      <w:r w:rsidRPr="001E3078">
        <w:rPr>
          <w:rFonts w:ascii="Cambria" w:hAnsi="Cambria"/>
          <w:sz w:val="20"/>
          <w:szCs w:val="20"/>
          <w:lang w:val="es-ES_tradnl"/>
        </w:rPr>
        <w:t xml:space="preserve">. </w:t>
      </w:r>
    </w:p>
    <w:p w14:paraId="7BA1A881" w14:textId="77777777" w:rsidR="00D676DC" w:rsidRPr="000A6EED" w:rsidRDefault="00D676DC" w:rsidP="00D676DC">
      <w:pPr>
        <w:rPr>
          <w:rFonts w:cs="Verdana"/>
          <w:sz w:val="20"/>
          <w:szCs w:val="20"/>
          <w:lang w:val="es-UY"/>
        </w:rPr>
      </w:pPr>
    </w:p>
    <w:p w14:paraId="03CA5C52"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sidRPr="000A6EED">
        <w:rPr>
          <w:rFonts w:ascii="Cambria" w:hAnsi="Cambria" w:cs="Verdana"/>
          <w:sz w:val="20"/>
          <w:szCs w:val="20"/>
          <w:lang w:val="es-UY"/>
        </w:rPr>
        <w:t>Por su parte, el deber de motivación, se traduce en la “justificación razonada” que permite al juzgador llegar a una conclusión</w:t>
      </w:r>
      <w:r w:rsidRPr="001E3078">
        <w:rPr>
          <w:rStyle w:val="FootnoteReference"/>
          <w:rFonts w:ascii="Cambria" w:hAnsi="Cambria" w:cs="Verdana"/>
          <w:sz w:val="20"/>
          <w:szCs w:val="20"/>
          <w:lang w:val="es-UY"/>
        </w:rPr>
        <w:footnoteReference w:id="83"/>
      </w:r>
      <w:r w:rsidRPr="000A6EED">
        <w:rPr>
          <w:rFonts w:ascii="Cambria" w:hAnsi="Cambria" w:cs="Verdana"/>
          <w:sz w:val="20"/>
          <w:szCs w:val="20"/>
          <w:lang w:val="es-UY"/>
        </w:rPr>
        <w:t xml:space="preserve">. </w:t>
      </w:r>
      <w:r w:rsidRPr="00C07773">
        <w:rPr>
          <w:rFonts w:ascii="Cambria" w:hAnsi="Cambria"/>
          <w:sz w:val="20"/>
          <w:szCs w:val="20"/>
          <w:lang w:val="es-ES"/>
        </w:rPr>
        <w:t xml:space="preserve">Tanto la Corte como la Comisión han recalcado que la exigencia de un nivel adecuado de motivación es sumamente relevante ya que el control disciplinario </w:t>
      </w:r>
      <w:r w:rsidR="00EA2F2E">
        <w:rPr>
          <w:rFonts w:ascii="Cambria" w:hAnsi="Cambria"/>
          <w:sz w:val="20"/>
          <w:szCs w:val="20"/>
          <w:lang w:val="es-ES"/>
        </w:rPr>
        <w:t>– y en este caso, el proc</w:t>
      </w:r>
      <w:r w:rsidR="00064450">
        <w:rPr>
          <w:rFonts w:ascii="Cambria" w:hAnsi="Cambria"/>
          <w:sz w:val="20"/>
          <w:szCs w:val="20"/>
          <w:lang w:val="es-ES"/>
        </w:rPr>
        <w:t>e</w:t>
      </w:r>
      <w:r w:rsidR="00EA2F2E">
        <w:rPr>
          <w:rFonts w:ascii="Cambria" w:hAnsi="Cambria"/>
          <w:sz w:val="20"/>
          <w:szCs w:val="20"/>
          <w:lang w:val="es-ES"/>
        </w:rPr>
        <w:t xml:space="preserve">so de evaluación y ratificación con consecuencias materialmente sancionatorias – </w:t>
      </w:r>
      <w:r w:rsidRPr="00C07773">
        <w:rPr>
          <w:rFonts w:ascii="Cambria" w:hAnsi="Cambria"/>
          <w:sz w:val="20"/>
          <w:szCs w:val="20"/>
          <w:lang w:val="es-ES"/>
        </w:rPr>
        <w:t>tiene como objeto valorar la conducta, idoneidad y desempeño de un funcionario público y, por ende, es en la propia motivación donde corresp</w:t>
      </w:r>
      <w:r w:rsidR="001B2DCA">
        <w:rPr>
          <w:rFonts w:ascii="Cambria" w:hAnsi="Cambria"/>
          <w:sz w:val="20"/>
          <w:szCs w:val="20"/>
          <w:lang w:val="es-ES"/>
        </w:rPr>
        <w:t xml:space="preserve">onde analizar la gravedad de la </w:t>
      </w:r>
      <w:r w:rsidRPr="00C07773">
        <w:rPr>
          <w:rFonts w:ascii="Cambria" w:hAnsi="Cambria"/>
          <w:sz w:val="20"/>
          <w:szCs w:val="20"/>
          <w:lang w:val="es-ES"/>
        </w:rPr>
        <w:t>conducta imputada y la proporcionalidad de la</w:t>
      </w:r>
      <w:r w:rsidR="00EA2F2E">
        <w:rPr>
          <w:rFonts w:ascii="Cambria" w:hAnsi="Cambria"/>
          <w:sz w:val="20"/>
          <w:szCs w:val="20"/>
          <w:lang w:val="es-ES"/>
        </w:rPr>
        <w:t xml:space="preserve"> consecuencia sancionatoria</w:t>
      </w:r>
      <w:r>
        <w:rPr>
          <w:rStyle w:val="FootnoteReference"/>
          <w:rFonts w:ascii="Cambria" w:hAnsi="Cambria"/>
          <w:sz w:val="20"/>
          <w:szCs w:val="20"/>
          <w:lang w:val="es-ES"/>
        </w:rPr>
        <w:footnoteReference w:id="84"/>
      </w:r>
      <w:r w:rsidRPr="00C07773">
        <w:rPr>
          <w:rFonts w:ascii="Cambria" w:hAnsi="Cambria"/>
          <w:sz w:val="20"/>
          <w:szCs w:val="20"/>
          <w:lang w:val="es-ES"/>
        </w:rPr>
        <w:t>.</w:t>
      </w:r>
    </w:p>
    <w:p w14:paraId="05446838" w14:textId="77777777" w:rsidR="00D676DC" w:rsidRPr="00C07773" w:rsidRDefault="00D676DC" w:rsidP="00D676DC">
      <w:pPr>
        <w:pStyle w:val="ListParagraph"/>
        <w:rPr>
          <w:rFonts w:eastAsia="Arial Unicode MS" w:cs="Times New Roman"/>
          <w:color w:val="auto"/>
          <w:sz w:val="20"/>
          <w:szCs w:val="20"/>
          <w:lang w:val="es-UY" w:eastAsia="en-US"/>
        </w:rPr>
      </w:pPr>
    </w:p>
    <w:p w14:paraId="2C5EE930" w14:textId="77777777" w:rsidR="00D676DC" w:rsidRPr="00BF477A"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Pr>
          <w:rFonts w:ascii="Cambria" w:hAnsi="Cambria" w:cs="Verdana"/>
          <w:sz w:val="20"/>
          <w:szCs w:val="20"/>
          <w:lang w:val="es-VE"/>
        </w:rPr>
        <w:t xml:space="preserve">Además, la Comisión recuerda que el deber de motivación </w:t>
      </w:r>
      <w:r w:rsidRPr="000A6EED">
        <w:rPr>
          <w:rFonts w:ascii="Cambria" w:hAnsi="Cambria" w:cs="Verdana"/>
          <w:sz w:val="20"/>
          <w:szCs w:val="20"/>
          <w:lang w:val="es-UY"/>
        </w:rPr>
        <w:t>guarda relación intrínseca con el principio de legalidad, pues</w:t>
      </w:r>
      <w:r w:rsidR="001B2DCA">
        <w:rPr>
          <w:rFonts w:ascii="Cambria" w:hAnsi="Cambria" w:cs="Verdana"/>
          <w:sz w:val="20"/>
          <w:szCs w:val="20"/>
          <w:lang w:val="es-UY"/>
        </w:rPr>
        <w:t xml:space="preserve"> </w:t>
      </w:r>
      <w:r w:rsidRPr="000A6EED">
        <w:rPr>
          <w:rFonts w:ascii="Cambria" w:hAnsi="Cambria" w:cs="Verdana"/>
          <w:sz w:val="20"/>
          <w:szCs w:val="20"/>
          <w:lang w:val="es-UY"/>
        </w:rPr>
        <w:t xml:space="preserve">partiendo de que las causales </w:t>
      </w:r>
      <w:r w:rsidR="00521254">
        <w:rPr>
          <w:rFonts w:ascii="Cambria" w:hAnsi="Cambria" w:cs="Verdana"/>
          <w:sz w:val="20"/>
          <w:szCs w:val="20"/>
          <w:lang w:val="es-UY"/>
        </w:rPr>
        <w:t>que dan lugar a una sanción</w:t>
      </w:r>
      <w:r w:rsidR="00667439">
        <w:rPr>
          <w:rFonts w:ascii="Cambria" w:hAnsi="Cambria" w:cs="Verdana"/>
          <w:sz w:val="20"/>
          <w:szCs w:val="20"/>
          <w:lang w:val="es-UY"/>
        </w:rPr>
        <w:t xml:space="preserve"> – particularmente a la </w:t>
      </w:r>
      <w:r w:rsidR="00521254">
        <w:rPr>
          <w:rFonts w:ascii="Cambria" w:hAnsi="Cambria" w:cs="Verdana"/>
          <w:sz w:val="20"/>
          <w:szCs w:val="20"/>
          <w:lang w:val="es-UY"/>
        </w:rPr>
        <w:t>consecuencia de no continuar en un cargo de juez , jueza o fiscal</w:t>
      </w:r>
      <w:r w:rsidR="00667439">
        <w:rPr>
          <w:rFonts w:ascii="Cambria" w:hAnsi="Cambria" w:cs="Verdana"/>
          <w:sz w:val="20"/>
          <w:szCs w:val="20"/>
          <w:lang w:val="es-UY"/>
        </w:rPr>
        <w:t xml:space="preserve"> –</w:t>
      </w:r>
      <w:r w:rsidRPr="000A6EED">
        <w:rPr>
          <w:rFonts w:ascii="Cambria" w:hAnsi="Cambria" w:cs="Verdana"/>
          <w:sz w:val="20"/>
          <w:szCs w:val="20"/>
          <w:lang w:val="es-UY"/>
        </w:rPr>
        <w:t>deben estar establecidas en el marco normativo del Estado conforme a los estándares antes descritos, la argumentación de un fallo debe permitir conocer “cuáles fueron los hechos, motivos y normas en que se basó la autoridad para tomar su decisión”</w:t>
      </w:r>
      <w:r w:rsidRPr="001E3078">
        <w:rPr>
          <w:rFonts w:ascii="Cambria" w:hAnsi="Cambria"/>
          <w:sz w:val="20"/>
          <w:szCs w:val="20"/>
          <w:vertAlign w:val="superscript"/>
          <w:lang w:val="es-UY"/>
        </w:rPr>
        <w:footnoteReference w:id="85"/>
      </w:r>
      <w:r w:rsidRPr="000A6EED">
        <w:rPr>
          <w:rFonts w:ascii="Cambria" w:hAnsi="Cambria" w:cs="Verdana"/>
          <w:sz w:val="20"/>
          <w:szCs w:val="20"/>
          <w:lang w:val="es-UY"/>
        </w:rPr>
        <w:t xml:space="preserve">. En ese sentido, </w:t>
      </w:r>
      <w:r w:rsidRPr="000A6EED">
        <w:rPr>
          <w:rFonts w:ascii="Cambria" w:hAnsi="Cambria"/>
          <w:sz w:val="20"/>
          <w:szCs w:val="20"/>
          <w:lang w:val="es-ES"/>
        </w:rPr>
        <w:t>es la motivación de la decisión sancionatoria la que permite entender la manera en que los hechos que sustentaron el procedimiento, se adecuan o caen dentro del ámbito de las causales invocadas.</w:t>
      </w:r>
      <w:r w:rsidR="001B2DCA">
        <w:rPr>
          <w:rFonts w:ascii="Cambria" w:hAnsi="Cambria"/>
          <w:sz w:val="20"/>
          <w:szCs w:val="20"/>
          <w:lang w:val="es-ES"/>
        </w:rPr>
        <w:t xml:space="preserve"> </w:t>
      </w:r>
      <w:r>
        <w:rPr>
          <w:rFonts w:ascii="Cambria" w:hAnsi="Cambria"/>
          <w:sz w:val="20"/>
          <w:szCs w:val="20"/>
          <w:lang w:val="es-ES"/>
        </w:rPr>
        <w:t>La motivación demuestra a las partes que éstas han sido oídas y les proporciona la posibilidad de criticar la resolución y lograr un nuevo examen de la cuestión ante las instancias superiores</w:t>
      </w:r>
      <w:r w:rsidRPr="00190967">
        <w:rPr>
          <w:rStyle w:val="FootnoteReference"/>
          <w:rFonts w:ascii="Cambria" w:hAnsi="Cambria"/>
          <w:sz w:val="20"/>
          <w:szCs w:val="20"/>
        </w:rPr>
        <w:footnoteReference w:id="86"/>
      </w:r>
      <w:r>
        <w:rPr>
          <w:rFonts w:ascii="Cambria" w:hAnsi="Cambria"/>
          <w:sz w:val="20"/>
          <w:szCs w:val="20"/>
          <w:lang w:val="es-ES"/>
        </w:rPr>
        <w:t xml:space="preserve">. </w:t>
      </w:r>
    </w:p>
    <w:p w14:paraId="50249CCB" w14:textId="77777777" w:rsidR="00D676DC" w:rsidRPr="00877994" w:rsidRDefault="00D676DC" w:rsidP="00D676DC">
      <w:pPr>
        <w:pStyle w:val="ListParagraph"/>
        <w:rPr>
          <w:rFonts w:eastAsia="Arial Unicode MS" w:cs="Verdana"/>
          <w:color w:val="auto"/>
          <w:sz w:val="20"/>
          <w:szCs w:val="20"/>
          <w:lang w:val="es-UY" w:eastAsia="en-US"/>
        </w:rPr>
      </w:pPr>
    </w:p>
    <w:p w14:paraId="27A00717"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Pr>
          <w:rFonts w:ascii="Cambria" w:hAnsi="Cambria" w:cs="Verdana"/>
          <w:sz w:val="20"/>
          <w:szCs w:val="20"/>
          <w:lang w:val="es-UY"/>
        </w:rPr>
        <w:t>Asimismo</w:t>
      </w:r>
      <w:r w:rsidRPr="00015A82">
        <w:rPr>
          <w:rFonts w:ascii="Cambria" w:hAnsi="Cambria"/>
          <w:sz w:val="20"/>
          <w:szCs w:val="20"/>
          <w:lang w:val="es-ES"/>
        </w:rPr>
        <w:t>, la CIDH ha</w:t>
      </w:r>
      <w:r w:rsidRPr="00C07773">
        <w:rPr>
          <w:rFonts w:ascii="Cambria" w:hAnsi="Cambria"/>
          <w:sz w:val="20"/>
          <w:szCs w:val="20"/>
          <w:lang w:val="es-ES"/>
        </w:rPr>
        <w:t xml:space="preserve"> establecido que el “principio de máxima severidad” de la sanción de destitución de un juez o jueza implica que sólo debe proceder por conductas “claramente reprochables”, “razones verdaderamente</w:t>
      </w:r>
      <w:r w:rsidRPr="00E65077">
        <w:rPr>
          <w:rFonts w:ascii="Cambria" w:hAnsi="Cambria" w:cs="Verdana"/>
          <w:sz w:val="20"/>
          <w:szCs w:val="20"/>
          <w:lang w:val="es-UY"/>
        </w:rPr>
        <w:t xml:space="preserve"> graves de mala conducta o incompetencia”</w:t>
      </w:r>
      <w:r w:rsidRPr="00E65077">
        <w:rPr>
          <w:rFonts w:ascii="Cambria" w:hAnsi="Cambria"/>
          <w:sz w:val="20"/>
          <w:szCs w:val="20"/>
          <w:vertAlign w:val="superscript"/>
          <w:lang w:val="es-UY"/>
        </w:rPr>
        <w:footnoteReference w:id="87"/>
      </w:r>
      <w:r w:rsidRPr="00E65077">
        <w:rPr>
          <w:rFonts w:ascii="Cambria" w:hAnsi="Cambria" w:cs="Verdana"/>
          <w:sz w:val="20"/>
          <w:szCs w:val="20"/>
          <w:lang w:val="es-UY"/>
        </w:rPr>
        <w:t xml:space="preserve">. </w:t>
      </w:r>
      <w:r w:rsidRPr="00E65077">
        <w:rPr>
          <w:rFonts w:ascii="Cambria" w:hAnsi="Cambria"/>
          <w:sz w:val="20"/>
          <w:szCs w:val="20"/>
          <w:lang w:val="es-VE"/>
        </w:rPr>
        <w:t xml:space="preserve">La protección de la independencia judicial exige que la destitución de jueces y juezas sea considerada como la </w:t>
      </w:r>
      <w:r w:rsidRPr="00E65077">
        <w:rPr>
          <w:rFonts w:ascii="Cambria" w:hAnsi="Cambria"/>
          <w:i/>
          <w:sz w:val="20"/>
          <w:szCs w:val="20"/>
          <w:lang w:val="es-VE"/>
        </w:rPr>
        <w:t>última ratio</w:t>
      </w:r>
      <w:r w:rsidRPr="00E65077">
        <w:rPr>
          <w:rFonts w:ascii="Cambria" w:hAnsi="Cambria"/>
          <w:sz w:val="20"/>
          <w:szCs w:val="20"/>
          <w:lang w:val="es-VE"/>
        </w:rPr>
        <w:t xml:space="preserve"> en materia disciplinaria judicial</w:t>
      </w:r>
      <w:r w:rsidRPr="00E65077">
        <w:rPr>
          <w:rStyle w:val="FootnoteReference"/>
          <w:rFonts w:ascii="Cambria" w:hAnsi="Cambria" w:cs="Calibri"/>
          <w:sz w:val="20"/>
          <w:szCs w:val="20"/>
          <w:lang w:val="es-ES"/>
        </w:rPr>
        <w:footnoteReference w:id="88"/>
      </w:r>
      <w:r w:rsidRPr="00E65077">
        <w:rPr>
          <w:rFonts w:ascii="Cambria" w:hAnsi="Cambria"/>
          <w:sz w:val="20"/>
          <w:szCs w:val="20"/>
          <w:lang w:val="es-VE"/>
        </w:rPr>
        <w:t>.</w:t>
      </w:r>
      <w:r w:rsidRPr="00E65077">
        <w:rPr>
          <w:rFonts w:ascii="Cambria" w:hAnsi="Cambria"/>
          <w:sz w:val="20"/>
          <w:szCs w:val="20"/>
        </w:rPr>
        <w:t xml:space="preserve"> </w:t>
      </w:r>
      <w:r>
        <w:rPr>
          <w:rFonts w:ascii="Cambria" w:hAnsi="Cambria"/>
          <w:sz w:val="20"/>
          <w:szCs w:val="20"/>
        </w:rPr>
        <w:t>La</w:t>
      </w:r>
      <w:r w:rsidRPr="00E65077">
        <w:rPr>
          <w:rFonts w:ascii="Cambria" w:hAnsi="Cambria"/>
          <w:sz w:val="20"/>
          <w:szCs w:val="20"/>
        </w:rPr>
        <w:t xml:space="preserve"> garantía de inmovilidad de las y los operadores de justicia implica que la destitución obedezca a conductas bastante graves, mientras que otras sanciones pueden contemplarse ante eventos como negligencia o impericia</w:t>
      </w:r>
      <w:r w:rsidRPr="00E65077">
        <w:rPr>
          <w:rStyle w:val="FootnoteReference"/>
          <w:rFonts w:ascii="Cambria" w:hAnsi="Cambria"/>
          <w:sz w:val="20"/>
          <w:szCs w:val="20"/>
        </w:rPr>
        <w:footnoteReference w:id="89"/>
      </w:r>
      <w:r w:rsidRPr="00E65077">
        <w:rPr>
          <w:rFonts w:ascii="Cambria" w:hAnsi="Cambria"/>
          <w:sz w:val="20"/>
          <w:szCs w:val="20"/>
        </w:rPr>
        <w:t>.</w:t>
      </w:r>
      <w:r w:rsidR="0022549D">
        <w:rPr>
          <w:rFonts w:ascii="Cambria" w:hAnsi="Cambria"/>
          <w:sz w:val="20"/>
          <w:szCs w:val="20"/>
        </w:rPr>
        <w:t xml:space="preserve"> La Comisión considera que estas valoraciones son igualmente aplicables a la decisión de no ratificar a un juez, jueza o fiscal, en los términos en que estaba regulado en el caso peruano al momento de la no ratificación de las presuntas víctimas. Esto, en la medida en que, en la práctica, dicha decisión tiene el mismo efecto materialmente sancionatorio de impedir que continuaran ejerciendo sus cargos, por razones de falta de idoneidad para tal efecto. </w:t>
      </w:r>
    </w:p>
    <w:p w14:paraId="413CD40C" w14:textId="77777777" w:rsidR="00D676DC" w:rsidRDefault="00D676DC" w:rsidP="00D676DC">
      <w:pPr>
        <w:pStyle w:val="ListParagraph"/>
        <w:rPr>
          <w:lang w:val="es-VE"/>
        </w:rPr>
      </w:pPr>
    </w:p>
    <w:p w14:paraId="559FB044"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sidRPr="00C07773">
        <w:rPr>
          <w:rFonts w:ascii="Cambria" w:hAnsi="Cambria"/>
          <w:sz w:val="20"/>
          <w:szCs w:val="20"/>
          <w:lang w:val="es-ES"/>
        </w:rPr>
        <w:t>En el presente caso la Comisión pudo constatar que las resoluciones emitidas por el CNM al momento de decretar la no ratificación de las presuntas víctimas fueron emitidas sin motivación alguna. El mismo Estado reconoció que existió una falta de motivación que podría haber afectado los derechos de las presuntas víctimas. La Comisión considera que la ausencia</w:t>
      </w:r>
      <w:r w:rsidR="00C43DF2">
        <w:rPr>
          <w:rFonts w:ascii="Cambria" w:hAnsi="Cambria"/>
          <w:sz w:val="20"/>
          <w:szCs w:val="20"/>
          <w:lang w:val="es-ES"/>
        </w:rPr>
        <w:t xml:space="preserve"> total</w:t>
      </w:r>
      <w:r w:rsidRPr="00C07773">
        <w:rPr>
          <w:rFonts w:ascii="Cambria" w:hAnsi="Cambria"/>
          <w:sz w:val="20"/>
          <w:szCs w:val="20"/>
          <w:lang w:val="es-ES"/>
        </w:rPr>
        <w:t xml:space="preserve"> de una motivación constituye en sí </w:t>
      </w:r>
      <w:r w:rsidR="00E65813">
        <w:rPr>
          <w:rFonts w:ascii="Cambria" w:hAnsi="Cambria"/>
          <w:sz w:val="20"/>
          <w:szCs w:val="20"/>
          <w:lang w:val="es-ES"/>
        </w:rPr>
        <w:t xml:space="preserve">misma </w:t>
      </w:r>
      <w:r w:rsidRPr="00C07773">
        <w:rPr>
          <w:rFonts w:ascii="Cambria" w:hAnsi="Cambria"/>
          <w:sz w:val="20"/>
          <w:szCs w:val="20"/>
          <w:lang w:val="es-ES"/>
        </w:rPr>
        <w:t>una violación</w:t>
      </w:r>
      <w:r>
        <w:rPr>
          <w:rFonts w:ascii="Cambria" w:hAnsi="Cambria"/>
          <w:sz w:val="20"/>
          <w:szCs w:val="20"/>
          <w:lang w:val="es-ES"/>
        </w:rPr>
        <w:t xml:space="preserve"> a las</w:t>
      </w:r>
      <w:r w:rsidR="00C43DF2">
        <w:rPr>
          <w:rFonts w:ascii="Cambria" w:hAnsi="Cambria"/>
          <w:sz w:val="20"/>
          <w:szCs w:val="20"/>
          <w:lang w:val="es-ES"/>
        </w:rPr>
        <w:t xml:space="preserve"> debidas</w:t>
      </w:r>
      <w:r>
        <w:rPr>
          <w:rFonts w:ascii="Cambria" w:hAnsi="Cambria"/>
          <w:sz w:val="20"/>
          <w:szCs w:val="20"/>
          <w:lang w:val="es-ES"/>
        </w:rPr>
        <w:t xml:space="preserve"> garantías contenidas en e</w:t>
      </w:r>
      <w:r w:rsidRPr="00C07773">
        <w:rPr>
          <w:rFonts w:ascii="Cambria" w:hAnsi="Cambria"/>
          <w:sz w:val="20"/>
          <w:szCs w:val="20"/>
          <w:lang w:val="es-ES"/>
        </w:rPr>
        <w:t>l art</w:t>
      </w:r>
      <w:r>
        <w:rPr>
          <w:rFonts w:ascii="Cambria" w:hAnsi="Cambria"/>
          <w:sz w:val="20"/>
          <w:szCs w:val="20"/>
          <w:lang w:val="es-ES"/>
        </w:rPr>
        <w:t>ículo 8.1</w:t>
      </w:r>
      <w:r w:rsidR="00C43DF2">
        <w:rPr>
          <w:rFonts w:ascii="Cambria" w:hAnsi="Cambria"/>
          <w:sz w:val="20"/>
          <w:szCs w:val="20"/>
          <w:lang w:val="es-ES"/>
        </w:rPr>
        <w:t xml:space="preserve"> de la Convención.</w:t>
      </w:r>
    </w:p>
    <w:p w14:paraId="6A3A0DB9" w14:textId="77777777" w:rsidR="00D676DC" w:rsidRPr="00064450" w:rsidRDefault="00D676DC" w:rsidP="00D676DC">
      <w:pPr>
        <w:pStyle w:val="ListParagraph"/>
        <w:rPr>
          <w:rFonts w:cs="Verdana"/>
          <w:sz w:val="20"/>
          <w:szCs w:val="20"/>
          <w:lang w:val="es-VE"/>
        </w:rPr>
      </w:pPr>
    </w:p>
    <w:p w14:paraId="502D570F" w14:textId="77777777" w:rsidR="00D613E7" w:rsidRDefault="00E65813" w:rsidP="00D613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Por otra parte, l</w:t>
      </w:r>
      <w:r w:rsidR="00D613E7">
        <w:rPr>
          <w:rFonts w:ascii="Cambria" w:hAnsi="Cambria" w:cs="Verdana"/>
          <w:sz w:val="20"/>
          <w:szCs w:val="20"/>
          <w:lang w:val="es-UY"/>
        </w:rPr>
        <w:t xml:space="preserve">a Comisión toma nota </w:t>
      </w:r>
      <w:r w:rsidR="00666EDC">
        <w:rPr>
          <w:rFonts w:ascii="Cambria" w:hAnsi="Cambria" w:cs="Verdana"/>
          <w:sz w:val="20"/>
          <w:szCs w:val="20"/>
          <w:lang w:val="es-UY"/>
        </w:rPr>
        <w:t xml:space="preserve">de </w:t>
      </w:r>
      <w:r w:rsidR="00D613E7">
        <w:rPr>
          <w:rFonts w:ascii="Cambria" w:hAnsi="Cambria" w:cs="Verdana"/>
          <w:sz w:val="20"/>
          <w:szCs w:val="20"/>
          <w:lang w:val="es-UY"/>
        </w:rPr>
        <w:t xml:space="preserve">que en el </w:t>
      </w:r>
      <w:r w:rsidR="00D613E7" w:rsidRPr="00D613E7">
        <w:rPr>
          <w:rFonts w:ascii="Cambria" w:hAnsi="Cambria" w:cs="Verdana"/>
          <w:sz w:val="20"/>
          <w:szCs w:val="20"/>
          <w:lang w:val="es-UY"/>
        </w:rPr>
        <w:t xml:space="preserve">marco legal del proceso de evaluación y ratificación no se establecían causales debidamente delimitadas que permitieran a las presuntas víctimas entender </w:t>
      </w:r>
      <w:r w:rsidR="00666EDC">
        <w:rPr>
          <w:rFonts w:ascii="Cambria" w:hAnsi="Cambria" w:cs="Verdana"/>
          <w:sz w:val="20"/>
          <w:szCs w:val="20"/>
          <w:lang w:val="es-UY"/>
        </w:rPr>
        <w:t>las</w:t>
      </w:r>
      <w:r w:rsidR="00D613E7" w:rsidRPr="00D613E7">
        <w:rPr>
          <w:rFonts w:ascii="Cambria" w:hAnsi="Cambria" w:cs="Verdana"/>
          <w:sz w:val="20"/>
          <w:szCs w:val="20"/>
          <w:lang w:val="es-UY"/>
        </w:rPr>
        <w:t xml:space="preserve"> conductas</w:t>
      </w:r>
      <w:r w:rsidR="00666EDC">
        <w:rPr>
          <w:rFonts w:ascii="Cambria" w:hAnsi="Cambria" w:cs="Verdana"/>
          <w:sz w:val="20"/>
          <w:szCs w:val="20"/>
          <w:lang w:val="es-UY"/>
        </w:rPr>
        <w:t xml:space="preserve"> concretas</w:t>
      </w:r>
      <w:r w:rsidR="00D613E7" w:rsidRPr="00D613E7">
        <w:rPr>
          <w:rFonts w:ascii="Cambria" w:hAnsi="Cambria" w:cs="Verdana"/>
          <w:sz w:val="20"/>
          <w:szCs w:val="20"/>
          <w:lang w:val="es-UY"/>
        </w:rPr>
        <w:t xml:space="preserve"> eran evaluadas por el CNM y cuáles de éstas podían ser consideradas como faltas graves</w:t>
      </w:r>
      <w:r w:rsidR="00666EDC">
        <w:rPr>
          <w:rFonts w:ascii="Cambria" w:hAnsi="Cambria" w:cs="Verdana"/>
          <w:sz w:val="20"/>
          <w:szCs w:val="20"/>
          <w:lang w:val="es-UY"/>
        </w:rPr>
        <w:t xml:space="preserve"> y de tal entidad que justific</w:t>
      </w:r>
      <w:r w:rsidR="00167AFC">
        <w:rPr>
          <w:rFonts w:ascii="Cambria" w:hAnsi="Cambria" w:cs="Verdana"/>
          <w:sz w:val="20"/>
          <w:szCs w:val="20"/>
          <w:lang w:val="es-UY"/>
        </w:rPr>
        <w:t>aran la no ratificación y, por lo tanto</w:t>
      </w:r>
      <w:r w:rsidR="00A14051">
        <w:rPr>
          <w:rFonts w:ascii="Cambria" w:hAnsi="Cambria" w:cs="Verdana"/>
          <w:sz w:val="20"/>
          <w:szCs w:val="20"/>
          <w:lang w:val="es-UY"/>
        </w:rPr>
        <w:t>,</w:t>
      </w:r>
      <w:r w:rsidR="00167AFC">
        <w:rPr>
          <w:rFonts w:ascii="Cambria" w:hAnsi="Cambria" w:cs="Verdana"/>
          <w:sz w:val="20"/>
          <w:szCs w:val="20"/>
          <w:lang w:val="es-UY"/>
        </w:rPr>
        <w:t xml:space="preserve"> la no permanencia en el cargo.</w:t>
      </w:r>
      <w:r w:rsidR="00EB6EF9">
        <w:rPr>
          <w:rFonts w:ascii="Cambria" w:hAnsi="Cambria" w:cs="Verdana"/>
          <w:sz w:val="20"/>
          <w:szCs w:val="20"/>
          <w:lang w:val="es-UY"/>
        </w:rPr>
        <w:t xml:space="preserve"> </w:t>
      </w:r>
      <w:r w:rsidR="00D613E7">
        <w:rPr>
          <w:rFonts w:ascii="Cambria" w:hAnsi="Cambria" w:cs="Verdana"/>
          <w:sz w:val="20"/>
          <w:szCs w:val="20"/>
          <w:lang w:val="es-UY"/>
        </w:rPr>
        <w:t>Las normas se limitaban a señalar los aspectos a evaluar por parte del CNM siendo estos</w:t>
      </w:r>
      <w:r w:rsidR="00D613E7" w:rsidRPr="00D613E7">
        <w:rPr>
          <w:rFonts w:ascii="Cambria" w:hAnsi="Cambria" w:cs="Verdana"/>
          <w:sz w:val="20"/>
          <w:szCs w:val="20"/>
          <w:lang w:val="es-UY"/>
        </w:rPr>
        <w:t xml:space="preserve"> “la conducta e idoneidad en el desempeño del cargo”</w:t>
      </w:r>
      <w:r w:rsidR="00D613E7">
        <w:rPr>
          <w:rFonts w:ascii="Cambria" w:hAnsi="Cambria" w:cs="Verdana"/>
          <w:sz w:val="20"/>
          <w:szCs w:val="20"/>
          <w:lang w:val="es-UY"/>
        </w:rPr>
        <w:t>,</w:t>
      </w:r>
      <w:r w:rsidR="00D613E7" w:rsidRPr="00D613E7">
        <w:rPr>
          <w:rFonts w:ascii="Cambria" w:hAnsi="Cambria" w:cs="Verdana"/>
          <w:sz w:val="20"/>
          <w:szCs w:val="20"/>
          <w:lang w:val="es-UY"/>
        </w:rPr>
        <w:t xml:space="preserve"> tomando como base</w:t>
      </w:r>
      <w:r w:rsidR="00A14051">
        <w:rPr>
          <w:rFonts w:ascii="Cambria" w:hAnsi="Cambria" w:cs="Verdana"/>
          <w:sz w:val="20"/>
          <w:szCs w:val="20"/>
          <w:lang w:val="es-UY"/>
        </w:rPr>
        <w:t>, en términos genéricos</w:t>
      </w:r>
      <w:r w:rsidR="00D613E7" w:rsidRPr="00D613E7">
        <w:rPr>
          <w:rFonts w:ascii="Cambria" w:hAnsi="Cambria" w:cs="Verdana"/>
          <w:sz w:val="20"/>
          <w:szCs w:val="20"/>
          <w:lang w:val="es-UY"/>
        </w:rPr>
        <w:t xml:space="preserve"> “la producción jurisdiccional, méritos, informes de los Colegios y Asociaciones de Abogados, antecedentes que han acumulado sobre su conducta”</w:t>
      </w:r>
      <w:r w:rsidR="00A14051">
        <w:rPr>
          <w:rFonts w:ascii="Cambria" w:hAnsi="Cambria" w:cs="Verdana"/>
          <w:sz w:val="20"/>
          <w:szCs w:val="20"/>
          <w:lang w:val="es-UY"/>
        </w:rPr>
        <w:t xml:space="preserve">. Además, </w:t>
      </w:r>
      <w:r w:rsidR="00D613E7">
        <w:rPr>
          <w:rFonts w:ascii="Cambria" w:hAnsi="Cambria" w:cs="Verdana"/>
          <w:sz w:val="20"/>
          <w:szCs w:val="20"/>
          <w:lang w:val="es-UY"/>
        </w:rPr>
        <w:t xml:space="preserve">el proceso de evaluación y ratificación </w:t>
      </w:r>
      <w:r w:rsidR="00D676DC" w:rsidRPr="00D613E7">
        <w:rPr>
          <w:rFonts w:ascii="Cambria" w:hAnsi="Cambria" w:cs="Verdana"/>
          <w:sz w:val="20"/>
          <w:szCs w:val="20"/>
          <w:lang w:val="es-UY"/>
        </w:rPr>
        <w:t>era calificado como un voto de confianza tanto en el marco jurídico aplicable como en la jurisprudencia del Tribunal Constitucional del Perú, de tal suerte que la decisión de ratificar a un magistrado se adoptaba “según el criterio de cada Consejero” que votara en la sesión respectiva del CNM.</w:t>
      </w:r>
    </w:p>
    <w:p w14:paraId="7671C704" w14:textId="77777777" w:rsidR="00DF6C34" w:rsidRDefault="00DF6C34" w:rsidP="00DF6C34">
      <w:pPr>
        <w:pStyle w:val="ListParagraph"/>
        <w:rPr>
          <w:rFonts w:cs="Verdana"/>
          <w:sz w:val="20"/>
          <w:szCs w:val="20"/>
          <w:lang w:val="es-UY"/>
        </w:rPr>
      </w:pPr>
    </w:p>
    <w:p w14:paraId="05ECEC3A" w14:textId="77777777" w:rsidR="00DF6C34" w:rsidRDefault="00DF6C34" w:rsidP="00DF6C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La Comisión estima que la discrecionalidad de los Consejeros en el marco de las entrevistas, permitió que, como alegaron algunos peticionarios</w:t>
      </w:r>
      <w:r w:rsidR="00070AAA">
        <w:rPr>
          <w:rFonts w:ascii="Cambria" w:hAnsi="Cambria" w:cs="Verdana"/>
          <w:sz w:val="20"/>
          <w:szCs w:val="20"/>
          <w:lang w:val="es-UY"/>
        </w:rPr>
        <w:t xml:space="preserve"> y el Estado no controvirtió</w:t>
      </w:r>
      <w:r>
        <w:rPr>
          <w:rFonts w:ascii="Cambria" w:hAnsi="Cambria" w:cs="Verdana"/>
          <w:sz w:val="20"/>
          <w:szCs w:val="20"/>
          <w:lang w:val="es-UY"/>
        </w:rPr>
        <w:t>, estos hicier</w:t>
      </w:r>
      <w:r w:rsidR="00B16001">
        <w:rPr>
          <w:rFonts w:ascii="Cambria" w:hAnsi="Cambria" w:cs="Verdana"/>
          <w:sz w:val="20"/>
          <w:szCs w:val="20"/>
          <w:lang w:val="es-UY"/>
        </w:rPr>
        <w:t>a</w:t>
      </w:r>
      <w:r>
        <w:rPr>
          <w:rFonts w:ascii="Cambria" w:hAnsi="Cambria" w:cs="Verdana"/>
          <w:sz w:val="20"/>
          <w:szCs w:val="20"/>
          <w:lang w:val="es-UY"/>
        </w:rPr>
        <w:t xml:space="preserve">n preguntas sobre cuestiones </w:t>
      </w:r>
      <w:r w:rsidR="00C610A7" w:rsidRPr="00DF6C34">
        <w:rPr>
          <w:rFonts w:ascii="Cambria" w:hAnsi="Cambria" w:cs="Verdana"/>
          <w:sz w:val="20"/>
          <w:szCs w:val="20"/>
          <w:lang w:val="es-UY"/>
        </w:rPr>
        <w:t xml:space="preserve">ajenas a la función jurisdiccional como su preferencia sexual, razones de soltería, o </w:t>
      </w:r>
      <w:r>
        <w:rPr>
          <w:rFonts w:ascii="Cambria" w:hAnsi="Cambria" w:cs="Verdana"/>
          <w:sz w:val="20"/>
          <w:szCs w:val="20"/>
          <w:lang w:val="es-UY"/>
        </w:rPr>
        <w:t xml:space="preserve">bien cuestionamientos a sus actividades jurisdiccionales como las razones por las que formularon ciertas denuncias. </w:t>
      </w:r>
    </w:p>
    <w:p w14:paraId="6D2F25A4" w14:textId="77777777" w:rsidR="00D613E7" w:rsidRDefault="00D613E7" w:rsidP="00DF6C34">
      <w:pPr>
        <w:rPr>
          <w:rFonts w:cs="Verdana"/>
          <w:sz w:val="20"/>
          <w:szCs w:val="20"/>
          <w:lang w:val="es-UY"/>
        </w:rPr>
      </w:pPr>
    </w:p>
    <w:p w14:paraId="44C3E3BD" w14:textId="77777777" w:rsidR="0013185B" w:rsidRDefault="0013185B" w:rsidP="00DF6C34">
      <w:pPr>
        <w:rPr>
          <w:rFonts w:cs="Verdana"/>
          <w:sz w:val="20"/>
          <w:szCs w:val="20"/>
          <w:lang w:val="es-UY"/>
        </w:rPr>
      </w:pPr>
    </w:p>
    <w:p w14:paraId="2A049783" w14:textId="77777777" w:rsidR="0013185B" w:rsidRPr="00DF6C34" w:rsidRDefault="0013185B" w:rsidP="00DF6C34">
      <w:pPr>
        <w:rPr>
          <w:rFonts w:cs="Verdana"/>
          <w:sz w:val="20"/>
          <w:szCs w:val="20"/>
          <w:lang w:val="es-UY"/>
        </w:rPr>
      </w:pPr>
    </w:p>
    <w:p w14:paraId="0D354BDE" w14:textId="77777777" w:rsidR="00D676DC" w:rsidRPr="006A35B1" w:rsidRDefault="00D613E7"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La Comisi</w:t>
      </w:r>
      <w:r w:rsidR="006A35B1">
        <w:rPr>
          <w:rFonts w:ascii="Cambria" w:hAnsi="Cambria" w:cs="Verdana"/>
          <w:sz w:val="20"/>
          <w:szCs w:val="20"/>
          <w:lang w:val="es-UY"/>
        </w:rPr>
        <w:t xml:space="preserve">ón </w:t>
      </w:r>
      <w:r w:rsidR="00DF6C34">
        <w:rPr>
          <w:rFonts w:ascii="Cambria" w:hAnsi="Cambria" w:cs="Verdana"/>
          <w:sz w:val="20"/>
          <w:szCs w:val="20"/>
          <w:lang w:val="es-UY"/>
        </w:rPr>
        <w:t>considera</w:t>
      </w:r>
      <w:r w:rsidR="006A35B1">
        <w:rPr>
          <w:rFonts w:ascii="Cambria" w:hAnsi="Cambria" w:cs="Verdana"/>
          <w:sz w:val="20"/>
          <w:szCs w:val="20"/>
          <w:lang w:val="es-UY"/>
        </w:rPr>
        <w:t xml:space="preserve"> que en el presente caso, la ausencia de causales claramente delimitadas, la ausencia de motivación de las resoluciones que determinaron la no ratificación de las presuntas víctimas, y la discrecionalidad otorgada a cada consejero al entender el proceso de evaluación y ratificación como un voto de confianza, resultó incompatible con </w:t>
      </w:r>
      <w:r w:rsidR="00D676DC" w:rsidRPr="006A35B1">
        <w:rPr>
          <w:rFonts w:ascii="Cambria" w:hAnsi="Cambria" w:cs="Verdana"/>
          <w:sz w:val="20"/>
          <w:szCs w:val="20"/>
          <w:lang w:val="es-UY"/>
        </w:rPr>
        <w:t>la garantía de estabilidad reforzada de los operadores de justicia pues los peticionarios fueron someti</w:t>
      </w:r>
      <w:r w:rsidR="00F22E10" w:rsidRPr="006A35B1">
        <w:rPr>
          <w:rFonts w:ascii="Cambria" w:hAnsi="Cambria" w:cs="Verdana"/>
          <w:sz w:val="20"/>
          <w:szCs w:val="20"/>
          <w:lang w:val="es-UY"/>
        </w:rPr>
        <w:t xml:space="preserve">dos a un proceso </w:t>
      </w:r>
      <w:r w:rsidR="006C1B53">
        <w:rPr>
          <w:rFonts w:ascii="Cambria" w:hAnsi="Cambria" w:cs="Verdana"/>
          <w:sz w:val="20"/>
          <w:szCs w:val="20"/>
          <w:lang w:val="es-UY"/>
        </w:rPr>
        <w:t xml:space="preserve">materialmente </w:t>
      </w:r>
      <w:r w:rsidR="00F22E10" w:rsidRPr="006A35B1">
        <w:rPr>
          <w:rFonts w:ascii="Cambria" w:hAnsi="Cambria" w:cs="Verdana"/>
          <w:sz w:val="20"/>
          <w:szCs w:val="20"/>
          <w:lang w:val="es-UY"/>
        </w:rPr>
        <w:t>sancionatorio</w:t>
      </w:r>
      <w:r w:rsidR="00D676DC" w:rsidRPr="006A35B1">
        <w:rPr>
          <w:rFonts w:ascii="Cambria" w:hAnsi="Cambria" w:cs="Verdana"/>
          <w:sz w:val="20"/>
          <w:szCs w:val="20"/>
          <w:lang w:val="es-UY"/>
        </w:rPr>
        <w:t xml:space="preserve"> bajo el cual se utilizó un control fundamentado en la “conveniencia” de la permanencia de los magistrados en sus funciones, no existiendo un control puramente jurídico como debe ser en estos casos</w:t>
      </w:r>
      <w:r w:rsidR="00EA5C18">
        <w:rPr>
          <w:rFonts w:ascii="Cambria" w:hAnsi="Cambria" w:cs="Verdana"/>
          <w:sz w:val="20"/>
          <w:szCs w:val="20"/>
          <w:lang w:val="es-UY"/>
        </w:rPr>
        <w:t xml:space="preserve"> para asegurar una verdadera rendición de cuentas y la idoneidad de los operadores judiciales, con base en criterios objetivos.</w:t>
      </w:r>
    </w:p>
    <w:p w14:paraId="50AC3DDE" w14:textId="77777777" w:rsidR="00D676DC" w:rsidRPr="006A35B1" w:rsidRDefault="00D676DC" w:rsidP="006A35B1">
      <w:pPr>
        <w:rPr>
          <w:sz w:val="20"/>
          <w:szCs w:val="20"/>
          <w:lang w:val="es-UY"/>
        </w:rPr>
      </w:pPr>
    </w:p>
    <w:p w14:paraId="7ACE4CA7" w14:textId="77777777" w:rsidR="00CC534C" w:rsidRPr="00430B7A" w:rsidRDefault="00D676DC" w:rsidP="00CC53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65183D">
        <w:rPr>
          <w:rFonts w:ascii="Cambria" w:hAnsi="Cambria"/>
          <w:sz w:val="20"/>
          <w:szCs w:val="20"/>
          <w:lang w:val="es-ES"/>
        </w:rPr>
        <w:t xml:space="preserve">En virtud de las anteriores consideraciones, la CIDH estima que el Estado peruano violó el derecho a contar con decisiones motivadas y el principio de legalidad establecidos en los artículos 8.1 y 9 de la Convención Americana en relación con los artículos 1.1 y 2 del mismo instrumento, en perjuicio de </w:t>
      </w:r>
      <w:r w:rsidRPr="0065183D">
        <w:rPr>
          <w:rFonts w:asciiTheme="majorHAnsi" w:hAnsiTheme="majorHAnsi"/>
          <w:sz w:val="20"/>
          <w:szCs w:val="20"/>
          <w:lang w:val="es-VE"/>
        </w:rPr>
        <w:t xml:space="preserve">Jorge Luis Cuya Lavy, Jean Aubert Díaz Alvarado, Marta Silvana Rodríguez Ricse y </w:t>
      </w:r>
      <w:r w:rsidRPr="0065183D">
        <w:rPr>
          <w:rFonts w:ascii="Cambria" w:hAnsi="Cambria"/>
          <w:color w:val="000000" w:themeColor="text1"/>
          <w:sz w:val="20"/>
          <w:szCs w:val="20"/>
          <w:lang w:val="es-VE"/>
        </w:rPr>
        <w:t>Walter Antonio Valenzuela Cerna</w:t>
      </w:r>
      <w:r w:rsidRPr="0065183D">
        <w:rPr>
          <w:rFonts w:ascii="Cambria" w:hAnsi="Cambria"/>
          <w:sz w:val="20"/>
          <w:szCs w:val="20"/>
          <w:lang w:val="es-ES"/>
        </w:rPr>
        <w:t>.</w:t>
      </w:r>
      <w:bookmarkStart w:id="26" w:name="_Toc515543708"/>
    </w:p>
    <w:p w14:paraId="575FAF28" w14:textId="77777777" w:rsidR="00774333" w:rsidRDefault="00802589" w:rsidP="003E17D7">
      <w:pPr>
        <w:pStyle w:val="Heading3"/>
        <w:numPr>
          <w:ilvl w:val="0"/>
          <w:numId w:val="62"/>
        </w:numPr>
        <w:ind w:hanging="90"/>
        <w:rPr>
          <w:rFonts w:ascii="Cambria" w:hAnsi="Cambria"/>
          <w:sz w:val="20"/>
          <w:szCs w:val="20"/>
          <w:lang w:val="es-ES_tradnl"/>
        </w:rPr>
      </w:pPr>
      <w:bookmarkStart w:id="27" w:name="_Toc516656765"/>
      <w:bookmarkStart w:id="28" w:name="_Toc527450135"/>
      <w:r w:rsidRPr="00E91876">
        <w:rPr>
          <w:rFonts w:ascii="Cambria" w:hAnsi="Cambria"/>
          <w:sz w:val="20"/>
          <w:szCs w:val="20"/>
          <w:lang w:val="es-ES_tradnl"/>
        </w:rPr>
        <w:t>El derecho a recurrir el fallo</w:t>
      </w:r>
      <w:r w:rsidRPr="00E91876">
        <w:rPr>
          <w:rFonts w:ascii="Cambria" w:hAnsi="Cambria"/>
          <w:sz w:val="20"/>
          <w:szCs w:val="20"/>
          <w:vertAlign w:val="superscript"/>
          <w:lang w:val="es-ES_tradnl"/>
        </w:rPr>
        <w:footnoteReference w:id="90"/>
      </w:r>
      <w:r w:rsidRPr="00E91876">
        <w:rPr>
          <w:rFonts w:ascii="Cambria" w:hAnsi="Cambria"/>
          <w:sz w:val="20"/>
          <w:szCs w:val="20"/>
          <w:lang w:val="es-ES_tradnl"/>
        </w:rPr>
        <w:t xml:space="preserve"> y el derecho a la protección judicial</w:t>
      </w:r>
      <w:r w:rsidRPr="00E91876">
        <w:rPr>
          <w:rFonts w:ascii="Cambria" w:hAnsi="Cambria"/>
          <w:sz w:val="20"/>
          <w:szCs w:val="20"/>
          <w:vertAlign w:val="superscript"/>
          <w:lang w:val="es-ES_tradnl"/>
        </w:rPr>
        <w:footnoteReference w:id="91"/>
      </w:r>
      <w:bookmarkEnd w:id="26"/>
      <w:bookmarkEnd w:id="27"/>
      <w:bookmarkEnd w:id="28"/>
    </w:p>
    <w:p w14:paraId="0CCF818D" w14:textId="77777777" w:rsidR="007F3F4A" w:rsidRPr="007F3F4A" w:rsidRDefault="007F3F4A" w:rsidP="007F3F4A">
      <w:pPr>
        <w:rPr>
          <w:lang w:val="es-ES_tradnl"/>
        </w:rPr>
      </w:pPr>
    </w:p>
    <w:p w14:paraId="0FA9C6E8" w14:textId="77777777" w:rsidR="00802589" w:rsidRPr="000C71B8" w:rsidRDefault="00802589" w:rsidP="008025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276E7">
        <w:rPr>
          <w:rFonts w:ascii="Cambria" w:hAnsi="Cambria"/>
          <w:sz w:val="20"/>
          <w:szCs w:val="20"/>
        </w:rPr>
        <w:t>La CIDH recuerda que el derecho a recurrir el fallo hace parte del debido proceso legal de un procedimiento sancionatorio disciplinario</w:t>
      </w:r>
      <w:r w:rsidRPr="00D276E7">
        <w:rPr>
          <w:rFonts w:ascii="Cambria" w:hAnsi="Cambria"/>
          <w:sz w:val="20"/>
          <w:szCs w:val="20"/>
          <w:vertAlign w:val="superscript"/>
        </w:rPr>
        <w:footnoteReference w:id="92"/>
      </w:r>
      <w:r w:rsidRPr="00D276E7">
        <w:rPr>
          <w:rFonts w:ascii="Cambria" w:hAnsi="Cambria"/>
          <w:sz w:val="20"/>
          <w:szCs w:val="20"/>
        </w:rPr>
        <w:t xml:space="preserve"> y es una garantía primordial cuya finalidad es evitar que se consolide una situación de injusticia</w:t>
      </w:r>
      <w:r w:rsidRPr="00D276E7">
        <w:rPr>
          <w:rStyle w:val="FootnoteReference"/>
          <w:rFonts w:ascii="Cambria" w:hAnsi="Cambria"/>
          <w:sz w:val="20"/>
          <w:szCs w:val="20"/>
        </w:rPr>
        <w:footnoteReference w:id="93"/>
      </w:r>
      <w:r>
        <w:rPr>
          <w:rFonts w:ascii="Cambria" w:hAnsi="Cambria"/>
          <w:sz w:val="20"/>
          <w:szCs w:val="20"/>
        </w:rPr>
        <w:t xml:space="preserve">. </w:t>
      </w:r>
      <w:r w:rsidRPr="00D276E7">
        <w:rPr>
          <w:rFonts w:ascii="Cambria" w:hAnsi="Cambria"/>
          <w:sz w:val="20"/>
          <w:szCs w:val="20"/>
        </w:rPr>
        <w:t>En cuanto al alcance del derecho a recurrir, tanto la CIDH como la Corte han indicado que este implica un examen por un juez o tribunal distinto y de superior jerarquía tanto de aspectos de hecho como de derecho de la decisión recurrida</w:t>
      </w:r>
      <w:r w:rsidRPr="00D276E7">
        <w:rPr>
          <w:rStyle w:val="FootnoteReference"/>
          <w:rFonts w:ascii="Cambria" w:hAnsi="Cambria"/>
          <w:sz w:val="20"/>
          <w:szCs w:val="20"/>
        </w:rPr>
        <w:footnoteReference w:id="94"/>
      </w:r>
      <w:r w:rsidRPr="00D276E7">
        <w:rPr>
          <w:rFonts w:ascii="Cambria" w:hAnsi="Cambria"/>
          <w:sz w:val="20"/>
          <w:szCs w:val="20"/>
        </w:rPr>
        <w:t>. Debe proceder antes que la sentencia adquiera calidad de cosa juzgada, debe ser resuelto en un plazo razonable, debe ser oportuno y eficaz, es decir, debe dar resultado o respuesta al fin para el cual fue concebido. Además, debe ser accesible, si</w:t>
      </w:r>
      <w:r w:rsidR="00BE176C">
        <w:rPr>
          <w:rFonts w:ascii="Cambria" w:hAnsi="Cambria"/>
          <w:sz w:val="20"/>
          <w:szCs w:val="20"/>
        </w:rPr>
        <w:t xml:space="preserve">n requerir mayores formalidades </w:t>
      </w:r>
      <w:r w:rsidRPr="00D276E7">
        <w:rPr>
          <w:rFonts w:ascii="Cambria" w:hAnsi="Cambria"/>
          <w:sz w:val="20"/>
          <w:szCs w:val="20"/>
        </w:rPr>
        <w:t>que tornen ilusorio el derecho</w:t>
      </w:r>
      <w:r w:rsidRPr="00D276E7">
        <w:rPr>
          <w:rStyle w:val="FootnoteReference"/>
          <w:rFonts w:ascii="Cambria" w:hAnsi="Cambria"/>
          <w:sz w:val="20"/>
          <w:szCs w:val="20"/>
        </w:rPr>
        <w:footnoteReference w:id="95"/>
      </w:r>
      <w:r w:rsidRPr="00D276E7">
        <w:rPr>
          <w:rFonts w:ascii="Cambria" w:hAnsi="Cambria"/>
          <w:sz w:val="20"/>
          <w:szCs w:val="20"/>
        </w:rPr>
        <w:t>.</w:t>
      </w:r>
    </w:p>
    <w:p w14:paraId="7F406D19" w14:textId="77777777" w:rsidR="00802589" w:rsidRDefault="00802589" w:rsidP="008025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65A64879" w14:textId="77777777" w:rsidR="00360281" w:rsidRDefault="00802589" w:rsidP="003602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7E63D7">
        <w:rPr>
          <w:rFonts w:ascii="Cambria" w:hAnsi="Cambria"/>
          <w:sz w:val="20"/>
          <w:szCs w:val="20"/>
        </w:rPr>
        <w:t>Finalmente, la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Pr="00D276E7">
        <w:rPr>
          <w:rFonts w:ascii="Cambria" w:hAnsi="Cambria"/>
          <w:sz w:val="20"/>
          <w:szCs w:val="20"/>
          <w:vertAlign w:val="superscript"/>
        </w:rPr>
        <w:footnoteReference w:id="96"/>
      </w:r>
      <w:r w:rsidRPr="007E63D7">
        <w:rPr>
          <w:rFonts w:ascii="Cambria" w:hAnsi="Cambria"/>
          <w:sz w:val="20"/>
          <w:szCs w:val="20"/>
        </w:rPr>
        <w:t xml:space="preserve">. </w:t>
      </w:r>
      <w:r w:rsidR="00C45998">
        <w:rPr>
          <w:rFonts w:ascii="Cambria" w:hAnsi="Cambria"/>
          <w:sz w:val="20"/>
          <w:szCs w:val="20"/>
        </w:rPr>
        <w:t>Además,</w:t>
      </w:r>
      <w:r w:rsidR="00C45998" w:rsidRPr="00C45998">
        <w:rPr>
          <w:rFonts w:ascii="Cambria" w:hAnsi="Cambria"/>
          <w:sz w:val="20"/>
          <w:szCs w:val="20"/>
        </w:rPr>
        <w:t xml:space="preserve"> </w:t>
      </w:r>
      <w:r w:rsidR="00301374">
        <w:rPr>
          <w:rFonts w:ascii="Cambria" w:hAnsi="Cambria"/>
          <w:sz w:val="20"/>
          <w:szCs w:val="20"/>
        </w:rPr>
        <w:t xml:space="preserve">la </w:t>
      </w:r>
      <w:r w:rsidR="00C45998" w:rsidRPr="00C45998">
        <w:rPr>
          <w:rFonts w:ascii="Cambria" w:hAnsi="Cambria"/>
          <w:sz w:val="20"/>
          <w:szCs w:val="20"/>
        </w:rPr>
        <w:t>Corte ha manifestado que la confusión y contradicción en la normativa interna puede colocar a las presuntas víctimas en una situación de desprotección, al no poder contar con un recurso sencillo y efectivo como consecuencia de una normativa contradictoria</w:t>
      </w:r>
      <w:r w:rsidR="00C45998">
        <w:rPr>
          <w:rStyle w:val="FootnoteReference"/>
          <w:rFonts w:ascii="Cambria" w:hAnsi="Cambria"/>
          <w:sz w:val="20"/>
          <w:szCs w:val="20"/>
        </w:rPr>
        <w:footnoteReference w:id="97"/>
      </w:r>
      <w:r w:rsidR="00C45998" w:rsidRPr="00C45998">
        <w:rPr>
          <w:rFonts w:ascii="Cambria" w:hAnsi="Cambria"/>
          <w:sz w:val="20"/>
          <w:szCs w:val="20"/>
        </w:rPr>
        <w:t>.</w:t>
      </w:r>
    </w:p>
    <w:p w14:paraId="3737357B" w14:textId="77777777" w:rsidR="00360281" w:rsidRDefault="00360281" w:rsidP="00360281">
      <w:pPr>
        <w:pStyle w:val="ListParagraph"/>
        <w:rPr>
          <w:sz w:val="20"/>
          <w:szCs w:val="20"/>
          <w:lang w:val="es-CO"/>
        </w:rPr>
      </w:pPr>
    </w:p>
    <w:p w14:paraId="5C0B7C42" w14:textId="77777777" w:rsidR="0065183D" w:rsidRPr="007C4260" w:rsidRDefault="00802589" w:rsidP="007C42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60281">
        <w:rPr>
          <w:rFonts w:ascii="Cambria" w:hAnsi="Cambria"/>
          <w:sz w:val="20"/>
          <w:szCs w:val="20"/>
        </w:rPr>
        <w:t>En el presente caso, la CIDH recuerda que</w:t>
      </w:r>
      <w:r w:rsidR="00360281" w:rsidRPr="00360281">
        <w:rPr>
          <w:rFonts w:ascii="Cambria" w:hAnsi="Cambria"/>
          <w:sz w:val="20"/>
          <w:szCs w:val="20"/>
        </w:rPr>
        <w:t xml:space="preserve"> el marco normativo vi</w:t>
      </w:r>
      <w:r w:rsidR="00052E90">
        <w:rPr>
          <w:rFonts w:ascii="Cambria" w:hAnsi="Cambria"/>
          <w:sz w:val="20"/>
          <w:szCs w:val="20"/>
        </w:rPr>
        <w:t xml:space="preserve">gente establecía que </w:t>
      </w:r>
      <w:r w:rsidR="001F3566">
        <w:rPr>
          <w:rFonts w:ascii="Cambria" w:hAnsi="Cambria"/>
          <w:sz w:val="20"/>
          <w:szCs w:val="20"/>
        </w:rPr>
        <w:t>n</w:t>
      </w:r>
      <w:r w:rsidR="00052E90">
        <w:rPr>
          <w:rFonts w:ascii="Cambria" w:hAnsi="Cambria"/>
          <w:sz w:val="20"/>
          <w:szCs w:val="20"/>
        </w:rPr>
        <w:t>o eran</w:t>
      </w:r>
      <w:r w:rsidR="00360281" w:rsidRPr="00360281">
        <w:rPr>
          <w:rFonts w:ascii="Cambria" w:hAnsi="Cambria"/>
          <w:sz w:val="20"/>
          <w:szCs w:val="20"/>
        </w:rPr>
        <w:t xml:space="preserve"> </w:t>
      </w:r>
      <w:r w:rsidR="00052E90">
        <w:rPr>
          <w:rFonts w:ascii="Cambria" w:hAnsi="Cambria"/>
          <w:sz w:val="20"/>
          <w:szCs w:val="20"/>
        </w:rPr>
        <w:t>“</w:t>
      </w:r>
      <w:r w:rsidR="00360281" w:rsidRPr="00360281">
        <w:rPr>
          <w:rFonts w:ascii="Cambria" w:hAnsi="Cambria"/>
          <w:sz w:val="20"/>
          <w:szCs w:val="20"/>
        </w:rPr>
        <w:t>revisables en sede judicial las decisiones</w:t>
      </w:r>
      <w:r w:rsidR="001F3566">
        <w:rPr>
          <w:rFonts w:ascii="Cambria" w:hAnsi="Cambria"/>
          <w:sz w:val="20"/>
          <w:szCs w:val="20"/>
        </w:rPr>
        <w:t>” del Consejo Nacional de la Magistratura</w:t>
      </w:r>
      <w:r w:rsidR="00CB0C28">
        <w:rPr>
          <w:rFonts w:ascii="Cambria" w:hAnsi="Cambria"/>
          <w:sz w:val="20"/>
          <w:szCs w:val="20"/>
        </w:rPr>
        <w:t xml:space="preserve"> en materia de evaluaciones y ratificaciones de jueces y </w:t>
      </w:r>
      <w:r w:rsidR="00052E90">
        <w:rPr>
          <w:rFonts w:ascii="Cambria" w:hAnsi="Cambria"/>
          <w:sz w:val="20"/>
          <w:szCs w:val="20"/>
        </w:rPr>
        <w:t>fiscales</w:t>
      </w:r>
      <w:r w:rsidR="001F3566">
        <w:rPr>
          <w:rFonts w:ascii="Cambria" w:hAnsi="Cambria"/>
          <w:sz w:val="20"/>
          <w:szCs w:val="20"/>
        </w:rPr>
        <w:t xml:space="preserve"> y</w:t>
      </w:r>
      <w:r w:rsidR="00052E90">
        <w:rPr>
          <w:rFonts w:ascii="Cambria" w:hAnsi="Cambria"/>
          <w:sz w:val="20"/>
          <w:szCs w:val="20"/>
        </w:rPr>
        <w:t>,</w:t>
      </w:r>
      <w:r w:rsidR="001F3566">
        <w:rPr>
          <w:rFonts w:ascii="Cambria" w:hAnsi="Cambria"/>
          <w:sz w:val="20"/>
          <w:szCs w:val="20"/>
        </w:rPr>
        <w:t xml:space="preserve"> además</w:t>
      </w:r>
      <w:r w:rsidR="00052E90">
        <w:rPr>
          <w:rFonts w:ascii="Cambria" w:hAnsi="Cambria"/>
          <w:sz w:val="20"/>
          <w:szCs w:val="20"/>
        </w:rPr>
        <w:t>,</w:t>
      </w:r>
      <w:r w:rsidR="001F3566">
        <w:rPr>
          <w:rFonts w:ascii="Cambria" w:hAnsi="Cambria"/>
          <w:sz w:val="20"/>
          <w:szCs w:val="20"/>
        </w:rPr>
        <w:t xml:space="preserve"> </w:t>
      </w:r>
      <w:r w:rsidR="00052E90">
        <w:rPr>
          <w:rFonts w:ascii="Cambria" w:hAnsi="Cambria"/>
          <w:sz w:val="20"/>
          <w:szCs w:val="20"/>
        </w:rPr>
        <w:t xml:space="preserve">señalaba que dichas </w:t>
      </w:r>
      <w:r w:rsidR="00360281" w:rsidRPr="00360281">
        <w:rPr>
          <w:rFonts w:ascii="Cambria" w:hAnsi="Cambria"/>
          <w:sz w:val="20"/>
          <w:szCs w:val="20"/>
        </w:rPr>
        <w:t xml:space="preserve">decisiones </w:t>
      </w:r>
      <w:r w:rsidR="00052E90">
        <w:rPr>
          <w:rFonts w:ascii="Cambria" w:hAnsi="Cambria"/>
          <w:sz w:val="20"/>
          <w:szCs w:val="20"/>
        </w:rPr>
        <w:t>eran</w:t>
      </w:r>
      <w:r w:rsidR="00360281" w:rsidRPr="00360281">
        <w:rPr>
          <w:rFonts w:ascii="Cambria" w:hAnsi="Cambria"/>
          <w:sz w:val="20"/>
          <w:szCs w:val="20"/>
        </w:rPr>
        <w:t xml:space="preserve"> </w:t>
      </w:r>
      <w:r w:rsidR="00052E90">
        <w:rPr>
          <w:rFonts w:ascii="Cambria" w:hAnsi="Cambria"/>
          <w:sz w:val="20"/>
          <w:szCs w:val="20"/>
        </w:rPr>
        <w:t>“</w:t>
      </w:r>
      <w:r w:rsidR="00360281" w:rsidRPr="00360281">
        <w:rPr>
          <w:rFonts w:ascii="Cambria" w:hAnsi="Cambria"/>
          <w:sz w:val="20"/>
          <w:szCs w:val="20"/>
        </w:rPr>
        <w:t>inimpugnables</w:t>
      </w:r>
      <w:r w:rsidR="001F3566">
        <w:rPr>
          <w:rFonts w:ascii="Cambria" w:hAnsi="Cambria"/>
          <w:sz w:val="20"/>
          <w:szCs w:val="20"/>
        </w:rPr>
        <w:t>”.</w:t>
      </w:r>
      <w:r w:rsidR="00CB0C28">
        <w:rPr>
          <w:rFonts w:ascii="Cambria" w:hAnsi="Cambria"/>
          <w:sz w:val="20"/>
          <w:szCs w:val="20"/>
        </w:rPr>
        <w:t xml:space="preserve"> </w:t>
      </w:r>
      <w:r w:rsidR="00DF6298">
        <w:rPr>
          <w:rFonts w:ascii="Cambria" w:hAnsi="Cambria"/>
          <w:sz w:val="20"/>
          <w:szCs w:val="20"/>
        </w:rPr>
        <w:t>Lo anterior implica que, al momento de los hechos, no existía</w:t>
      </w:r>
      <w:r w:rsidR="00052E90">
        <w:rPr>
          <w:rFonts w:ascii="Cambria" w:hAnsi="Cambria"/>
          <w:sz w:val="20"/>
          <w:szCs w:val="20"/>
        </w:rPr>
        <w:t xml:space="preserve"> en la legislación peruana</w:t>
      </w:r>
      <w:r w:rsidR="00DF6298">
        <w:rPr>
          <w:rFonts w:ascii="Cambria" w:hAnsi="Cambria"/>
          <w:sz w:val="20"/>
          <w:szCs w:val="20"/>
        </w:rPr>
        <w:t xml:space="preserve"> un</w:t>
      </w:r>
      <w:r w:rsidR="003305A4">
        <w:rPr>
          <w:rFonts w:ascii="Cambria" w:hAnsi="Cambria"/>
          <w:sz w:val="20"/>
          <w:szCs w:val="20"/>
        </w:rPr>
        <w:t xml:space="preserve"> recurso que permitiera la revisión </w:t>
      </w:r>
      <w:r w:rsidR="00301374">
        <w:rPr>
          <w:rFonts w:ascii="Cambria" w:hAnsi="Cambria"/>
          <w:sz w:val="20"/>
          <w:szCs w:val="20"/>
        </w:rPr>
        <w:t>integral</w:t>
      </w:r>
      <w:r w:rsidR="003305A4">
        <w:rPr>
          <w:rFonts w:ascii="Cambria" w:hAnsi="Cambria"/>
          <w:sz w:val="20"/>
          <w:szCs w:val="20"/>
        </w:rPr>
        <w:t xml:space="preserve"> de </w:t>
      </w:r>
      <w:r w:rsidR="00D05A09">
        <w:rPr>
          <w:rFonts w:ascii="Cambria" w:hAnsi="Cambria"/>
          <w:sz w:val="20"/>
          <w:szCs w:val="20"/>
        </w:rPr>
        <w:t xml:space="preserve">las </w:t>
      </w:r>
      <w:r w:rsidR="003305A4">
        <w:rPr>
          <w:rFonts w:ascii="Cambria" w:hAnsi="Cambria"/>
          <w:sz w:val="20"/>
          <w:szCs w:val="20"/>
        </w:rPr>
        <w:t>resoluci</w:t>
      </w:r>
      <w:r w:rsidR="00D05A09">
        <w:rPr>
          <w:rFonts w:ascii="Cambria" w:hAnsi="Cambria"/>
          <w:sz w:val="20"/>
          <w:szCs w:val="20"/>
        </w:rPr>
        <w:t>ones del CNM</w:t>
      </w:r>
      <w:r w:rsidR="003305A4">
        <w:rPr>
          <w:rFonts w:ascii="Cambria" w:hAnsi="Cambria"/>
          <w:sz w:val="20"/>
          <w:szCs w:val="20"/>
        </w:rPr>
        <w:t xml:space="preserve"> </w:t>
      </w:r>
      <w:r w:rsidR="00052E90">
        <w:rPr>
          <w:rFonts w:ascii="Cambria" w:hAnsi="Cambria"/>
          <w:sz w:val="20"/>
          <w:szCs w:val="20"/>
        </w:rPr>
        <w:t>y tampoco existía</w:t>
      </w:r>
      <w:r w:rsidR="003305A4">
        <w:rPr>
          <w:rFonts w:ascii="Cambria" w:hAnsi="Cambria"/>
          <w:sz w:val="20"/>
          <w:szCs w:val="20"/>
        </w:rPr>
        <w:t xml:space="preserve"> la posibilidad de presentar un recur</w:t>
      </w:r>
      <w:r w:rsidR="00D05A09">
        <w:rPr>
          <w:rFonts w:ascii="Cambria" w:hAnsi="Cambria"/>
          <w:sz w:val="20"/>
          <w:szCs w:val="20"/>
        </w:rPr>
        <w:t>so judicial frente una potencial violación a derechos humanos emanada de dichas resoluciones.</w:t>
      </w:r>
      <w:r w:rsidR="003305A4">
        <w:rPr>
          <w:rFonts w:ascii="Cambria" w:hAnsi="Cambria"/>
          <w:sz w:val="20"/>
          <w:szCs w:val="20"/>
        </w:rPr>
        <w:t xml:space="preserve"> </w:t>
      </w:r>
    </w:p>
    <w:p w14:paraId="3FAAE23E" w14:textId="77777777" w:rsidR="00672209" w:rsidRDefault="00CB0C28" w:rsidP="008025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Pese a lo anterior, la Comisión toma nota que</w:t>
      </w:r>
      <w:r w:rsidR="00B10C0E">
        <w:rPr>
          <w:rFonts w:ascii="Cambria" w:hAnsi="Cambria"/>
          <w:sz w:val="20"/>
          <w:szCs w:val="20"/>
        </w:rPr>
        <w:t xml:space="preserve"> las presuntas víctimas Cuya Lavy, Díaz Alvarado y Rodríguez Ricse presentaron demanda de amparo en contra de la resolución del CNM </w:t>
      </w:r>
      <w:r w:rsidR="00342E19">
        <w:rPr>
          <w:rFonts w:ascii="Cambria" w:hAnsi="Cambria"/>
          <w:sz w:val="20"/>
          <w:szCs w:val="20"/>
        </w:rPr>
        <w:t xml:space="preserve">mediante la cual </w:t>
      </w:r>
      <w:r w:rsidR="00B10C0E">
        <w:rPr>
          <w:rFonts w:ascii="Cambria" w:hAnsi="Cambria"/>
          <w:sz w:val="20"/>
          <w:szCs w:val="20"/>
        </w:rPr>
        <w:t xml:space="preserve">se decretaba su no ratificación. </w:t>
      </w:r>
    </w:p>
    <w:p w14:paraId="19B63E71" w14:textId="77777777" w:rsidR="00672209" w:rsidRDefault="00672209" w:rsidP="00672209">
      <w:pPr>
        <w:pStyle w:val="ListParagraph"/>
        <w:rPr>
          <w:sz w:val="20"/>
          <w:szCs w:val="20"/>
          <w:lang w:val="es-CO"/>
        </w:rPr>
      </w:pPr>
    </w:p>
    <w:p w14:paraId="7F862753" w14:textId="77777777" w:rsidR="00B10C0E" w:rsidRDefault="00B10C0E" w:rsidP="00B10C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672209">
        <w:rPr>
          <w:rFonts w:ascii="Cambria" w:hAnsi="Cambria"/>
          <w:sz w:val="20"/>
          <w:szCs w:val="20"/>
        </w:rPr>
        <w:t xml:space="preserve"> En el caso </w:t>
      </w:r>
      <w:r w:rsidR="00672209" w:rsidRPr="00672209">
        <w:rPr>
          <w:rFonts w:ascii="Cambria" w:hAnsi="Cambria"/>
          <w:sz w:val="20"/>
          <w:szCs w:val="20"/>
        </w:rPr>
        <w:t xml:space="preserve">de </w:t>
      </w:r>
      <w:r w:rsidR="007F409B">
        <w:rPr>
          <w:rFonts w:ascii="Cambria" w:hAnsi="Cambria"/>
          <w:sz w:val="20"/>
          <w:szCs w:val="20"/>
        </w:rPr>
        <w:t xml:space="preserve">Jorge Luis </w:t>
      </w:r>
      <w:r w:rsidR="00672209" w:rsidRPr="00672209">
        <w:rPr>
          <w:rFonts w:ascii="Cambria" w:hAnsi="Cambria"/>
          <w:sz w:val="20"/>
          <w:szCs w:val="20"/>
        </w:rPr>
        <w:t xml:space="preserve">Cuya Lavy, el recurso de amparo se denegó por considerarse que no son revisables las resoluciones del CNM en materia de evaluación y ratificación de jueces. </w:t>
      </w:r>
      <w:r w:rsidR="00672209">
        <w:rPr>
          <w:rFonts w:ascii="Cambria" w:hAnsi="Cambria"/>
          <w:sz w:val="20"/>
          <w:szCs w:val="20"/>
        </w:rPr>
        <w:t xml:space="preserve">Finalmente, se declaró sin lugar </w:t>
      </w:r>
      <w:r w:rsidR="007F409B">
        <w:rPr>
          <w:rFonts w:ascii="Cambria" w:hAnsi="Cambria"/>
          <w:sz w:val="20"/>
          <w:szCs w:val="20"/>
        </w:rPr>
        <w:t>el recurso extraordinario al estimarse que solo excepcionalmente puede ser revisada la función de ratificación, en los supuestos de ejercicio irregular.</w:t>
      </w:r>
    </w:p>
    <w:p w14:paraId="589F96C8" w14:textId="77777777" w:rsidR="007F409B" w:rsidRDefault="007F409B" w:rsidP="007F409B">
      <w:pPr>
        <w:pStyle w:val="ListParagraph"/>
        <w:rPr>
          <w:sz w:val="20"/>
          <w:szCs w:val="20"/>
          <w:lang w:val="es-CO"/>
        </w:rPr>
      </w:pPr>
    </w:p>
    <w:p w14:paraId="7D686BC4" w14:textId="77777777" w:rsidR="00DC592B" w:rsidRPr="00D43ED2" w:rsidRDefault="007F409B" w:rsidP="00D43E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En el caso de Jean Aubert Díaz</w:t>
      </w:r>
      <w:r w:rsidR="00D56B11">
        <w:rPr>
          <w:rFonts w:ascii="Cambria" w:hAnsi="Cambria"/>
          <w:sz w:val="20"/>
          <w:szCs w:val="20"/>
        </w:rPr>
        <w:t xml:space="preserve"> Alvarado</w:t>
      </w:r>
      <w:r w:rsidR="00DC592B">
        <w:rPr>
          <w:rFonts w:ascii="Cambria" w:hAnsi="Cambria"/>
          <w:sz w:val="20"/>
          <w:szCs w:val="20"/>
        </w:rPr>
        <w:t xml:space="preserve"> y Marta Silvana Rodriguez Ricse, ambos fueron no ratificados en 2001 y presentaron recurso</w:t>
      </w:r>
      <w:r w:rsidR="00D43ED2">
        <w:rPr>
          <w:rFonts w:ascii="Cambria" w:hAnsi="Cambria"/>
          <w:sz w:val="20"/>
          <w:szCs w:val="20"/>
        </w:rPr>
        <w:t xml:space="preserve"> </w:t>
      </w:r>
      <w:r w:rsidR="00DC592B" w:rsidRPr="00D43ED2">
        <w:rPr>
          <w:rFonts w:ascii="Cambria" w:hAnsi="Cambria"/>
          <w:sz w:val="20"/>
          <w:szCs w:val="20"/>
        </w:rPr>
        <w:t xml:space="preserve">de amparo en 2006, al habilitarse dicha posibilidad por cambio jurisprudencial producido en diciembre de 2004, sin embargo el Tribunal Constitucional finalmente los desechó al estimar que las acciones estaban prescritas por haberse vencido en exceso el plazo de 60 días previsto en el artículo 44 del Código Procesal Constitucional. </w:t>
      </w:r>
    </w:p>
    <w:p w14:paraId="29FB3ABC" w14:textId="77777777" w:rsidR="00875DC6" w:rsidRDefault="00875DC6" w:rsidP="00DC59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p>
    <w:p w14:paraId="260913F1" w14:textId="77777777" w:rsidR="00C45998" w:rsidRPr="00C45998" w:rsidRDefault="00875DC6" w:rsidP="00C459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La Comisión toma nota de lo manifestado por el Estado en relación a que la acción de amparo se mostró efectiva en otros casos similares a</w:t>
      </w:r>
      <w:r w:rsidR="00CC534C">
        <w:rPr>
          <w:rFonts w:ascii="Cambria" w:hAnsi="Cambria"/>
          <w:sz w:val="20"/>
          <w:szCs w:val="20"/>
        </w:rPr>
        <w:t xml:space="preserve"> </w:t>
      </w:r>
      <w:r>
        <w:rPr>
          <w:rFonts w:ascii="Cambria" w:hAnsi="Cambria"/>
          <w:sz w:val="20"/>
          <w:szCs w:val="20"/>
        </w:rPr>
        <w:t>l</w:t>
      </w:r>
      <w:r w:rsidR="00CC534C">
        <w:rPr>
          <w:rFonts w:ascii="Cambria" w:hAnsi="Cambria"/>
          <w:sz w:val="20"/>
          <w:szCs w:val="20"/>
        </w:rPr>
        <w:t>os</w:t>
      </w:r>
      <w:r>
        <w:rPr>
          <w:rFonts w:ascii="Cambria" w:hAnsi="Cambria"/>
          <w:sz w:val="20"/>
          <w:szCs w:val="20"/>
        </w:rPr>
        <w:t xml:space="preserve"> de los peticionarios, sin embargo, el Estado también reconoció que en la época de los hechos </w:t>
      </w:r>
      <w:r w:rsidR="00CC534C">
        <w:rPr>
          <w:rFonts w:ascii="Cambria" w:hAnsi="Cambria"/>
          <w:sz w:val="20"/>
          <w:szCs w:val="20"/>
        </w:rPr>
        <w:t xml:space="preserve">“la legislación y jurisprudencia se encontraban totalmente divididas”, situación que generaba incertidumbre sobre la procedencia o no del amparo cuando el marco legal expresamente negaba esa posibilidad pero, en la práctica, algunos órganos jurisdiccionales si aceptaban la procedencia de éste en contra de las resoluciones de evaluación y ratificación del CNM. </w:t>
      </w:r>
    </w:p>
    <w:p w14:paraId="454ECFA1" w14:textId="77777777" w:rsidR="0065183D" w:rsidRPr="0065183D" w:rsidRDefault="0065183D" w:rsidP="0065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7B802D79" w14:textId="77777777" w:rsidR="00802589" w:rsidRPr="00301374" w:rsidRDefault="00875DC6" w:rsidP="00772F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301374">
        <w:rPr>
          <w:rFonts w:ascii="Cambria" w:hAnsi="Cambria"/>
          <w:sz w:val="20"/>
          <w:szCs w:val="20"/>
        </w:rPr>
        <w:t>Por lo</w:t>
      </w:r>
      <w:r w:rsidR="00BB6A23">
        <w:rPr>
          <w:rFonts w:ascii="Cambria" w:hAnsi="Cambria"/>
          <w:sz w:val="20"/>
          <w:szCs w:val="20"/>
        </w:rPr>
        <w:t xml:space="preserve"> expuesto, </w:t>
      </w:r>
      <w:r w:rsidRPr="00301374">
        <w:rPr>
          <w:rFonts w:ascii="Cambria" w:hAnsi="Cambria"/>
          <w:sz w:val="20"/>
          <w:szCs w:val="20"/>
        </w:rPr>
        <w:t>l</w:t>
      </w:r>
      <w:r w:rsidR="00802589" w:rsidRPr="00301374">
        <w:rPr>
          <w:rFonts w:ascii="Cambria" w:hAnsi="Cambria"/>
          <w:sz w:val="20"/>
          <w:szCs w:val="20"/>
          <w:lang w:val="es-ES"/>
        </w:rPr>
        <w:t>a Comisión estima que la</w:t>
      </w:r>
      <w:r w:rsidRPr="00301374">
        <w:rPr>
          <w:rFonts w:ascii="Cambria" w:hAnsi="Cambria"/>
          <w:sz w:val="20"/>
          <w:szCs w:val="20"/>
          <w:lang w:val="es-ES"/>
        </w:rPr>
        <w:t>s</w:t>
      </w:r>
      <w:r w:rsidR="00802589" w:rsidRPr="00301374">
        <w:rPr>
          <w:rFonts w:ascii="Cambria" w:hAnsi="Cambria"/>
          <w:sz w:val="20"/>
          <w:szCs w:val="20"/>
          <w:lang w:val="es-ES"/>
        </w:rPr>
        <w:t xml:space="preserve"> presunta</w:t>
      </w:r>
      <w:r w:rsidRPr="00301374">
        <w:rPr>
          <w:rFonts w:ascii="Cambria" w:hAnsi="Cambria"/>
          <w:sz w:val="20"/>
          <w:szCs w:val="20"/>
          <w:lang w:val="es-ES"/>
        </w:rPr>
        <w:t>s</w:t>
      </w:r>
      <w:r w:rsidR="00802589" w:rsidRPr="00301374">
        <w:rPr>
          <w:rFonts w:ascii="Cambria" w:hAnsi="Cambria"/>
          <w:sz w:val="20"/>
          <w:szCs w:val="20"/>
          <w:lang w:val="es-ES"/>
        </w:rPr>
        <w:t xml:space="preserve"> víctima</w:t>
      </w:r>
      <w:r w:rsidRPr="00301374">
        <w:rPr>
          <w:rFonts w:ascii="Cambria" w:hAnsi="Cambria"/>
          <w:sz w:val="20"/>
          <w:szCs w:val="20"/>
          <w:lang w:val="es-ES"/>
        </w:rPr>
        <w:t>s no contaron</w:t>
      </w:r>
      <w:r w:rsidR="00802589" w:rsidRPr="00301374">
        <w:rPr>
          <w:rFonts w:ascii="Cambria" w:hAnsi="Cambria"/>
          <w:sz w:val="20"/>
          <w:szCs w:val="20"/>
          <w:lang w:val="es-ES"/>
        </w:rPr>
        <w:t xml:space="preserve"> con un recurso para impugnar la decisión que declaró </w:t>
      </w:r>
      <w:r w:rsidRPr="00301374">
        <w:rPr>
          <w:rFonts w:ascii="Cambria" w:hAnsi="Cambria"/>
          <w:sz w:val="20"/>
          <w:szCs w:val="20"/>
          <w:lang w:val="es-ES"/>
        </w:rPr>
        <w:t xml:space="preserve">su no ratificación en sus cargos como jueces y fiscales y que tuvo como efecto su separación de los mismos, negándoles la posibilidad de </w:t>
      </w:r>
      <w:r w:rsidR="00802589" w:rsidRPr="00301374">
        <w:rPr>
          <w:rFonts w:ascii="Cambria" w:hAnsi="Cambria"/>
          <w:sz w:val="20"/>
          <w:szCs w:val="20"/>
          <w:lang w:val="es-ES"/>
        </w:rPr>
        <w:t xml:space="preserve">una revisión integral tanto de fundamentos fácticos como jurídicos de la decisión. </w:t>
      </w:r>
      <w:r w:rsidRPr="00301374">
        <w:rPr>
          <w:rFonts w:ascii="Cambria" w:hAnsi="Cambria"/>
          <w:sz w:val="20"/>
          <w:szCs w:val="20"/>
          <w:lang w:val="es-ES"/>
        </w:rPr>
        <w:t>Por otra parte, tampoco contaron</w:t>
      </w:r>
      <w:r w:rsidR="00802589" w:rsidRPr="00301374">
        <w:rPr>
          <w:rFonts w:ascii="Cambria" w:hAnsi="Cambria"/>
          <w:sz w:val="20"/>
          <w:szCs w:val="20"/>
          <w:lang w:val="es-ES"/>
        </w:rPr>
        <w:t xml:space="preserve"> con el recurso judicial efectivo previsto en la Convención Americana para lograr la protección de los derechos que estimaba</w:t>
      </w:r>
      <w:r w:rsidRPr="00301374">
        <w:rPr>
          <w:rFonts w:ascii="Cambria" w:hAnsi="Cambria"/>
          <w:sz w:val="20"/>
          <w:szCs w:val="20"/>
          <w:lang w:val="es-ES"/>
        </w:rPr>
        <w:t>n</w:t>
      </w:r>
      <w:r w:rsidR="00802589" w:rsidRPr="00301374">
        <w:rPr>
          <w:rFonts w:ascii="Cambria" w:hAnsi="Cambria"/>
          <w:sz w:val="20"/>
          <w:szCs w:val="20"/>
          <w:lang w:val="es-ES"/>
        </w:rPr>
        <w:t xml:space="preserve"> violados. </w:t>
      </w:r>
    </w:p>
    <w:p w14:paraId="7F5D80ED" w14:textId="77777777" w:rsidR="00301374" w:rsidRPr="00176469" w:rsidRDefault="00301374" w:rsidP="0030137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p>
    <w:p w14:paraId="4127FB9C" w14:textId="77777777" w:rsidR="00776B4C" w:rsidRPr="008C6679" w:rsidRDefault="00802589" w:rsidP="00875D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A4174E">
        <w:rPr>
          <w:rFonts w:ascii="Cambria" w:hAnsi="Cambria"/>
          <w:sz w:val="20"/>
          <w:szCs w:val="20"/>
        </w:rPr>
        <w:t xml:space="preserve">En </w:t>
      </w:r>
      <w:r w:rsidRPr="00A4174E">
        <w:rPr>
          <w:rFonts w:ascii="Cambria" w:hAnsi="Cambria"/>
          <w:sz w:val="20"/>
          <w:szCs w:val="20"/>
          <w:lang w:val="es-US"/>
        </w:rPr>
        <w:t>virtud</w:t>
      </w:r>
      <w:r w:rsidRPr="00A4174E">
        <w:rPr>
          <w:rFonts w:ascii="Cambria" w:hAnsi="Cambria"/>
          <w:sz w:val="20"/>
          <w:szCs w:val="20"/>
        </w:rPr>
        <w:t xml:space="preserve"> de las razones anteriores, </w:t>
      </w:r>
      <w:r w:rsidRPr="00A4174E">
        <w:rPr>
          <w:rFonts w:ascii="Cambria" w:hAnsi="Cambria"/>
          <w:sz w:val="20"/>
          <w:szCs w:val="20"/>
          <w:lang w:val="es-CL"/>
        </w:rPr>
        <w:t>la Comisión co</w:t>
      </w:r>
      <w:r>
        <w:rPr>
          <w:rFonts w:ascii="Cambria" w:hAnsi="Cambria"/>
          <w:sz w:val="20"/>
          <w:szCs w:val="20"/>
          <w:lang w:val="es-CL"/>
        </w:rPr>
        <w:t xml:space="preserve">ncluye que el Estado </w:t>
      </w:r>
      <w:r w:rsidR="00875DC6">
        <w:rPr>
          <w:rFonts w:ascii="Cambria" w:hAnsi="Cambria"/>
          <w:sz w:val="20"/>
          <w:szCs w:val="20"/>
          <w:lang w:val="es-CL"/>
        </w:rPr>
        <w:t>peruano</w:t>
      </w:r>
      <w:r w:rsidRPr="00A4174E">
        <w:rPr>
          <w:rFonts w:ascii="Cambria" w:hAnsi="Cambria"/>
          <w:sz w:val="20"/>
          <w:szCs w:val="20"/>
          <w:lang w:val="es-CL"/>
        </w:rPr>
        <w:t xml:space="preserve"> violó el derecho a recurrir el fallo y el derecho a la protección judicial establecidos en los artículos 8.2 h) y 25.1 de la Convención Americana en relación con las obligaciones establecidas en el artículo 1.1 y 2 del mismo instrumento, en perjuicio </w:t>
      </w:r>
      <w:r w:rsidR="00875DC6" w:rsidRPr="00DC460F">
        <w:rPr>
          <w:rFonts w:ascii="Cambria" w:hAnsi="Cambria"/>
          <w:sz w:val="20"/>
          <w:szCs w:val="20"/>
          <w:lang w:val="es-ES"/>
        </w:rPr>
        <w:t xml:space="preserve">de </w:t>
      </w:r>
      <w:r w:rsidR="00875DC6" w:rsidRPr="00DC460F">
        <w:rPr>
          <w:rFonts w:asciiTheme="majorHAnsi" w:hAnsiTheme="majorHAnsi"/>
          <w:sz w:val="20"/>
          <w:szCs w:val="20"/>
          <w:lang w:val="es-VE"/>
        </w:rPr>
        <w:t xml:space="preserve">Jorge Luis Cuya Lavy, Jean Aubert Díaz Alvarado, Marta Silvana Rodríguez Ricse y </w:t>
      </w:r>
      <w:r w:rsidR="00875DC6" w:rsidRPr="00DC460F">
        <w:rPr>
          <w:rFonts w:ascii="Cambria" w:hAnsi="Cambria"/>
          <w:color w:val="000000" w:themeColor="text1"/>
          <w:sz w:val="20"/>
          <w:szCs w:val="20"/>
          <w:lang w:val="es-VE"/>
        </w:rPr>
        <w:t>Walter Antonio Valenzuela Cerna</w:t>
      </w:r>
      <w:r>
        <w:rPr>
          <w:rFonts w:ascii="Cambria" w:hAnsi="Cambria"/>
          <w:sz w:val="20"/>
          <w:szCs w:val="20"/>
          <w:lang w:val="es-CL"/>
        </w:rPr>
        <w:t>.</w:t>
      </w:r>
    </w:p>
    <w:p w14:paraId="35EC5EB9" w14:textId="77777777" w:rsidR="008C6679" w:rsidRPr="008F0B5B" w:rsidRDefault="008C6679" w:rsidP="008F0B5B">
      <w:pPr>
        <w:rPr>
          <w:sz w:val="20"/>
          <w:szCs w:val="20"/>
          <w:lang w:val="es-ES"/>
        </w:rPr>
      </w:pPr>
    </w:p>
    <w:p w14:paraId="47FAAAE2" w14:textId="77777777" w:rsidR="008C6679" w:rsidRPr="008C6679" w:rsidRDefault="008C6679" w:rsidP="003E17D7">
      <w:pPr>
        <w:pStyle w:val="Heading2"/>
        <w:numPr>
          <w:ilvl w:val="0"/>
          <w:numId w:val="60"/>
        </w:numPr>
        <w:spacing w:before="0" w:after="0"/>
        <w:ind w:left="1440" w:hanging="810"/>
        <w:jc w:val="both"/>
        <w:rPr>
          <w:rFonts w:asciiTheme="majorHAnsi" w:hAnsiTheme="majorHAnsi"/>
          <w:i w:val="0"/>
          <w:sz w:val="20"/>
          <w:szCs w:val="20"/>
        </w:rPr>
      </w:pPr>
      <w:bookmarkStart w:id="29" w:name="_Toc527450136"/>
      <w:r w:rsidRPr="008C6679">
        <w:rPr>
          <w:rFonts w:asciiTheme="majorHAnsi" w:hAnsiTheme="majorHAnsi"/>
          <w:bCs w:val="0"/>
          <w:i w:val="0"/>
          <w:sz w:val="20"/>
          <w:szCs w:val="20"/>
        </w:rPr>
        <w:t>Los derechos políticos</w:t>
      </w:r>
      <w:r w:rsidRPr="008C6679">
        <w:rPr>
          <w:rStyle w:val="FootnoteReference"/>
          <w:rFonts w:asciiTheme="majorHAnsi" w:hAnsiTheme="majorHAnsi"/>
          <w:bCs w:val="0"/>
          <w:i w:val="0"/>
          <w:sz w:val="20"/>
          <w:szCs w:val="20"/>
        </w:rPr>
        <w:footnoteReference w:id="98"/>
      </w:r>
      <w:bookmarkEnd w:id="29"/>
    </w:p>
    <w:p w14:paraId="767A8B79" w14:textId="77777777" w:rsidR="008C6679" w:rsidRPr="00CC534C" w:rsidRDefault="008C6679" w:rsidP="008C667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sz w:val="20"/>
          <w:szCs w:val="20"/>
          <w:lang w:val="es-CO"/>
        </w:rPr>
      </w:pPr>
    </w:p>
    <w:p w14:paraId="564585F6" w14:textId="77777777" w:rsidR="008C6679" w:rsidRPr="00BE7E74" w:rsidRDefault="008C6679" w:rsidP="008C66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lang w:val="es-CO"/>
        </w:rPr>
      </w:pPr>
      <w:r w:rsidRPr="007B7F46">
        <w:rPr>
          <w:sz w:val="20"/>
          <w:szCs w:val="20"/>
          <w:lang w:val="es-CO"/>
        </w:rPr>
        <w:t xml:space="preserve"> </w:t>
      </w:r>
      <w:r>
        <w:rPr>
          <w:sz w:val="20"/>
          <w:szCs w:val="20"/>
          <w:lang w:val="es-CO"/>
        </w:rPr>
        <w:t xml:space="preserve">El artículo 23.1 </w:t>
      </w:r>
      <w:r w:rsidRPr="007B7F46">
        <w:rPr>
          <w:sz w:val="20"/>
          <w:szCs w:val="20"/>
          <w:lang w:val="es-CO"/>
        </w:rPr>
        <w:t>c</w:t>
      </w:r>
      <w:r>
        <w:rPr>
          <w:sz w:val="20"/>
          <w:szCs w:val="20"/>
          <w:lang w:val="es-CO"/>
        </w:rPr>
        <w:t>)</w:t>
      </w:r>
      <w:r w:rsidRPr="007B7F46">
        <w:rPr>
          <w:sz w:val="20"/>
          <w:szCs w:val="20"/>
          <w:lang w:val="es-CO"/>
        </w:rPr>
        <w:t xml:space="preserve"> establece el derecho de jueces y juezas a acceder a cargos públicos “en condiciones de igualdad”. La Corte ha interpretado este artículo indicando que cuando se afecta en forma arbitraria la permanencia de los jueces y las juezas en su cargo, se vulnera el derecho a la independencia judicial consagrado en el artículo 8.1 de la Convención Americana, en conjunción con el derecho de acceso y permanencia en condiciones generales de igualdad en un cargo público, esta</w:t>
      </w:r>
      <w:r>
        <w:rPr>
          <w:sz w:val="20"/>
          <w:szCs w:val="20"/>
          <w:lang w:val="es-CO"/>
        </w:rPr>
        <w:t>blecido en el artículo 23.1 c)”</w:t>
      </w:r>
      <w:r>
        <w:rPr>
          <w:rStyle w:val="FootnoteReference"/>
          <w:sz w:val="20"/>
          <w:szCs w:val="20"/>
          <w:lang w:val="es-CO"/>
        </w:rPr>
        <w:footnoteReference w:id="99"/>
      </w:r>
      <w:r>
        <w:rPr>
          <w:sz w:val="20"/>
          <w:szCs w:val="20"/>
          <w:lang w:val="es-CO"/>
        </w:rPr>
        <w:t>.</w:t>
      </w:r>
    </w:p>
    <w:p w14:paraId="44310283" w14:textId="77777777" w:rsidR="008C6679" w:rsidRPr="00BE7E74" w:rsidRDefault="008C6679" w:rsidP="008C667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30"/>
        <w:jc w:val="both"/>
        <w:rPr>
          <w:sz w:val="13"/>
          <w:szCs w:val="13"/>
          <w:lang w:val="es-CO"/>
        </w:rPr>
      </w:pPr>
    </w:p>
    <w:p w14:paraId="273A34C2" w14:textId="77777777" w:rsidR="00C74CDF" w:rsidRPr="00C74CDF" w:rsidRDefault="00C74CDF" w:rsidP="00C74CD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lang w:val="es-CO"/>
        </w:rPr>
      </w:pPr>
      <w:r w:rsidRPr="00C74CDF">
        <w:rPr>
          <w:bCs/>
          <w:sz w:val="20"/>
          <w:szCs w:val="20"/>
          <w:lang w:val="es-CO"/>
        </w:rPr>
        <w:t>La Comisión estima que el estándar indicado también resulta aplicable a fiscales, a la luz de lo indicado en el presente informe respecto a que las garantías de estabilidad reforzada de jueces también son aplicables y deben proteger a fiscales para garantizar la independencia en el ejercicio de su cargo.</w:t>
      </w:r>
    </w:p>
    <w:p w14:paraId="7F06AFCB" w14:textId="77777777" w:rsidR="00C74CDF" w:rsidRDefault="00C74CDF" w:rsidP="00C74CDF">
      <w:pPr>
        <w:pStyle w:val="ListParagraph"/>
        <w:rPr>
          <w:sz w:val="20"/>
          <w:szCs w:val="20"/>
          <w:lang w:val="es-CO"/>
        </w:rPr>
      </w:pPr>
    </w:p>
    <w:p w14:paraId="3E92FD3A" w14:textId="77777777" w:rsidR="0013185B" w:rsidRPr="00C74CDF" w:rsidRDefault="0013185B" w:rsidP="00C74CDF">
      <w:pPr>
        <w:pStyle w:val="ListParagraph"/>
        <w:rPr>
          <w:sz w:val="20"/>
          <w:szCs w:val="20"/>
          <w:lang w:val="es-CO"/>
        </w:rPr>
      </w:pPr>
    </w:p>
    <w:p w14:paraId="280964ED" w14:textId="77777777" w:rsidR="00C74CDF" w:rsidRPr="00C74CDF" w:rsidRDefault="008C6679" w:rsidP="00C74CD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lang w:val="es-CO"/>
        </w:rPr>
      </w:pPr>
      <w:r w:rsidRPr="00C74CDF">
        <w:rPr>
          <w:sz w:val="20"/>
          <w:szCs w:val="20"/>
          <w:lang w:val="es-CO"/>
        </w:rPr>
        <w:t>Tal como se estableció en apartados anteriores, en el presente caso ha quedado establecido que las presuntas víctimas fueron separad</w:t>
      </w:r>
      <w:r w:rsidR="00061211">
        <w:rPr>
          <w:sz w:val="20"/>
          <w:szCs w:val="20"/>
          <w:lang w:val="es-CO"/>
        </w:rPr>
        <w:t>a</w:t>
      </w:r>
      <w:r w:rsidRPr="00C74CDF">
        <w:rPr>
          <w:sz w:val="20"/>
          <w:szCs w:val="20"/>
          <w:lang w:val="es-CO"/>
        </w:rPr>
        <w:t>s de sus cargos en un proceso arbitrario en el cual se cometieron diversas violaciones tanto al debido proceso como al principio de legalidad en los términos descritos a lo largo de este informe de fondo, por lo que, en observancia del criterio indicado en el párrafo anterior, la Comisión considera que el Estado también violó el artículo 23.1 c) de la Convención Americana en perjuicio de los peticionarios.</w:t>
      </w:r>
    </w:p>
    <w:p w14:paraId="0B719D2F" w14:textId="77777777" w:rsidR="00C74CDF" w:rsidRPr="00C74CDF" w:rsidRDefault="00C74CDF" w:rsidP="00C74CDF">
      <w:pPr>
        <w:pStyle w:val="ListParagraph"/>
        <w:rPr>
          <w:sz w:val="20"/>
          <w:szCs w:val="20"/>
          <w:lang w:val="es-CO"/>
        </w:rPr>
      </w:pPr>
    </w:p>
    <w:p w14:paraId="20A7D9AF" w14:textId="77777777" w:rsidR="008C6679" w:rsidRPr="00C74CDF" w:rsidRDefault="008C6679" w:rsidP="00C74CD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lang w:val="es-CO"/>
        </w:rPr>
      </w:pPr>
      <w:r w:rsidRPr="00C74CDF">
        <w:rPr>
          <w:sz w:val="20"/>
          <w:szCs w:val="20"/>
          <w:lang w:val="es-CO"/>
        </w:rPr>
        <w:t>En virtud de lo expuesto, la Comisión considera que el Estado violó el artículo 23.1 c) de la Convención Americana en re</w:t>
      </w:r>
      <w:r w:rsidR="0087508D">
        <w:rPr>
          <w:sz w:val="20"/>
          <w:szCs w:val="20"/>
          <w:lang w:val="es-CO"/>
        </w:rPr>
        <w:t xml:space="preserve">lación con </w:t>
      </w:r>
      <w:r w:rsidR="00D3118C">
        <w:rPr>
          <w:sz w:val="20"/>
          <w:szCs w:val="20"/>
          <w:lang w:val="es-CO"/>
        </w:rPr>
        <w:t>el artículo</w:t>
      </w:r>
      <w:r w:rsidR="0087508D">
        <w:rPr>
          <w:sz w:val="20"/>
          <w:szCs w:val="20"/>
          <w:lang w:val="es-CO"/>
        </w:rPr>
        <w:t xml:space="preserve"> 1.1</w:t>
      </w:r>
      <w:r w:rsidRPr="00C74CDF">
        <w:rPr>
          <w:sz w:val="20"/>
          <w:szCs w:val="20"/>
          <w:lang w:val="es-CO"/>
        </w:rPr>
        <w:t xml:space="preserve"> del mismo instrumento, en perjuicio de </w:t>
      </w:r>
      <w:r w:rsidRPr="00C74CDF">
        <w:rPr>
          <w:rFonts w:asciiTheme="majorHAnsi" w:hAnsiTheme="majorHAnsi"/>
          <w:sz w:val="20"/>
          <w:szCs w:val="20"/>
          <w:lang w:val="es-VE"/>
        </w:rPr>
        <w:t xml:space="preserve">Jorge Luis Cuya Lavy, Jean Aubert Díaz Alvarado, Marta Silvana Rodríguez Ricse y </w:t>
      </w:r>
      <w:r w:rsidRPr="00C74CDF">
        <w:rPr>
          <w:color w:val="000000" w:themeColor="text1"/>
          <w:sz w:val="20"/>
          <w:szCs w:val="20"/>
          <w:lang w:val="es-VE"/>
        </w:rPr>
        <w:t>Walter Antonio Valenzuela Cerna</w:t>
      </w:r>
      <w:r w:rsidRPr="00C74CDF">
        <w:rPr>
          <w:sz w:val="20"/>
          <w:szCs w:val="20"/>
          <w:lang w:val="es-CO"/>
        </w:rPr>
        <w:t xml:space="preserve">. </w:t>
      </w:r>
    </w:p>
    <w:p w14:paraId="6256DE99" w14:textId="77777777" w:rsidR="003C6534" w:rsidRPr="00776B4C" w:rsidRDefault="003C6534" w:rsidP="00776B4C">
      <w:pPr>
        <w:pStyle w:val="ListParagraph"/>
        <w:rPr>
          <w:rFonts w:asciiTheme="majorHAnsi" w:hAnsiTheme="majorHAnsi"/>
          <w:sz w:val="20"/>
          <w:szCs w:val="20"/>
          <w:lang w:val="es-ES_tradnl"/>
        </w:rPr>
      </w:pPr>
    </w:p>
    <w:p w14:paraId="39A66D1F" w14:textId="77777777" w:rsidR="00776B4C" w:rsidRPr="00776B4C" w:rsidRDefault="00776B4C" w:rsidP="00776B4C">
      <w:pPr>
        <w:pStyle w:val="Heading1"/>
        <w:spacing w:before="0"/>
        <w:ind w:hanging="90"/>
        <w:rPr>
          <w:color w:val="auto"/>
          <w:sz w:val="20"/>
          <w:szCs w:val="20"/>
          <w:lang w:val="es-ES_tradnl"/>
        </w:rPr>
      </w:pPr>
      <w:bookmarkStart w:id="30" w:name="_Toc527450137"/>
      <w:r>
        <w:rPr>
          <w:color w:val="auto"/>
          <w:sz w:val="20"/>
          <w:szCs w:val="20"/>
          <w:lang w:val="es-ES_tradnl"/>
        </w:rPr>
        <w:t>CONCLUSIONES Y RECOMENDACIONES</w:t>
      </w:r>
      <w:bookmarkEnd w:id="30"/>
    </w:p>
    <w:p w14:paraId="40B51A6C" w14:textId="77777777" w:rsidR="00FD5A99" w:rsidRDefault="00FD5A99" w:rsidP="00776B4C">
      <w:pPr>
        <w:suppressAutoHyphens/>
        <w:rPr>
          <w:rFonts w:asciiTheme="majorHAnsi" w:hAnsiTheme="majorHAnsi"/>
          <w:b/>
          <w:sz w:val="20"/>
          <w:szCs w:val="20"/>
          <w:lang w:val="es-ES_tradnl"/>
        </w:rPr>
      </w:pPr>
    </w:p>
    <w:p w14:paraId="7EC38B1B" w14:textId="77777777" w:rsidR="00021D37" w:rsidRDefault="00CD2AAD" w:rsidP="00021D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color w:val="000000" w:themeColor="text1"/>
          <w:sz w:val="20"/>
          <w:szCs w:val="20"/>
          <w:lang w:val="es-VE"/>
        </w:rPr>
      </w:pPr>
      <w:r w:rsidRPr="00CD2AAD">
        <w:rPr>
          <w:color w:val="000000" w:themeColor="text1"/>
          <w:sz w:val="20"/>
          <w:szCs w:val="20"/>
          <w:lang w:val="es-VE"/>
        </w:rPr>
        <w:t xml:space="preserve">Con base en las determinaciones de hecho y de derecho, la Comisión Interamericana concluyó que el Estado es responsable por la violación de los </w:t>
      </w:r>
      <w:r w:rsidR="00021D37">
        <w:rPr>
          <w:color w:val="000000" w:themeColor="text1"/>
          <w:sz w:val="20"/>
          <w:szCs w:val="20"/>
          <w:lang w:val="es-VE"/>
        </w:rPr>
        <w:t>derechos a las garantías judiciales, principio de legalidad y a la protección judicial, consagrados en los artículos 8.1, 8.2 b), 8.2 c),</w:t>
      </w:r>
      <w:r w:rsidR="00D3118C">
        <w:rPr>
          <w:color w:val="000000" w:themeColor="text1"/>
          <w:sz w:val="20"/>
          <w:szCs w:val="20"/>
          <w:lang w:val="es-VE"/>
        </w:rPr>
        <w:t xml:space="preserve"> 8.2 h)</w:t>
      </w:r>
      <w:r w:rsidR="00021D37">
        <w:rPr>
          <w:color w:val="000000" w:themeColor="text1"/>
          <w:sz w:val="20"/>
          <w:szCs w:val="20"/>
          <w:lang w:val="es-VE"/>
        </w:rPr>
        <w:t xml:space="preserve"> 9, 23.1 c) y 25.1 </w:t>
      </w:r>
      <w:r w:rsidRPr="00021D37">
        <w:rPr>
          <w:color w:val="000000" w:themeColor="text1"/>
          <w:sz w:val="20"/>
          <w:szCs w:val="20"/>
          <w:lang w:val="es-VE"/>
        </w:rPr>
        <w:t>de la Convención Americana sobre Derechos Humanos, en relación con las obligaciones establ</w:t>
      </w:r>
      <w:r w:rsidR="00301374" w:rsidRPr="00021D37">
        <w:rPr>
          <w:color w:val="000000" w:themeColor="text1"/>
          <w:sz w:val="20"/>
          <w:szCs w:val="20"/>
          <w:lang w:val="es-VE"/>
        </w:rPr>
        <w:t xml:space="preserve">ecidas en </w:t>
      </w:r>
      <w:r w:rsidRPr="00021D37">
        <w:rPr>
          <w:color w:val="auto"/>
          <w:sz w:val="20"/>
          <w:szCs w:val="20"/>
          <w:lang w:val="es-VE"/>
        </w:rPr>
        <w:t xml:space="preserve">los artículos 1.1 y 2 del mismo </w:t>
      </w:r>
      <w:r w:rsidRPr="00021D37">
        <w:rPr>
          <w:color w:val="000000" w:themeColor="text1"/>
          <w:sz w:val="20"/>
          <w:szCs w:val="20"/>
          <w:lang w:val="es-VE"/>
        </w:rPr>
        <w:t xml:space="preserve">instrumento, en perjuicio de </w:t>
      </w:r>
      <w:r w:rsidRPr="00021D37">
        <w:rPr>
          <w:rFonts w:asciiTheme="majorHAnsi" w:hAnsiTheme="majorHAnsi"/>
          <w:sz w:val="20"/>
          <w:szCs w:val="20"/>
          <w:lang w:val="es-VE"/>
        </w:rPr>
        <w:t xml:space="preserve">Jorge Luis Cuya Lavy, Jean Aubert Díaz Alvarado, Marta Silvana Rodríguez Ricse y </w:t>
      </w:r>
      <w:r w:rsidRPr="00021D37">
        <w:rPr>
          <w:color w:val="000000" w:themeColor="text1"/>
          <w:sz w:val="20"/>
          <w:szCs w:val="20"/>
          <w:lang w:val="es-VE"/>
        </w:rPr>
        <w:t>Walter Antonio Valenzuela Cerna.</w:t>
      </w:r>
    </w:p>
    <w:p w14:paraId="2EBC7DE6" w14:textId="77777777" w:rsidR="00021D37" w:rsidRDefault="00021D37" w:rsidP="00021D3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30"/>
        <w:jc w:val="both"/>
        <w:rPr>
          <w:color w:val="000000" w:themeColor="text1"/>
          <w:sz w:val="20"/>
          <w:szCs w:val="20"/>
          <w:lang w:val="es-VE"/>
        </w:rPr>
      </w:pPr>
    </w:p>
    <w:p w14:paraId="1036BA66" w14:textId="77777777" w:rsidR="008C6679" w:rsidRPr="00021D37" w:rsidRDefault="00CD2AAD" w:rsidP="00021D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color w:val="000000" w:themeColor="text1"/>
          <w:sz w:val="20"/>
          <w:szCs w:val="20"/>
          <w:lang w:val="es-VE"/>
        </w:rPr>
      </w:pPr>
      <w:r w:rsidRPr="00021D37">
        <w:rPr>
          <w:rFonts w:cs="Verdana"/>
          <w:sz w:val="20"/>
          <w:szCs w:val="20"/>
          <w:lang w:val="es-VE"/>
        </w:rPr>
        <w:t>Con fundamento en el análisis y las conclusiones del presente informe,</w:t>
      </w:r>
    </w:p>
    <w:p w14:paraId="1E99865E" w14:textId="77777777" w:rsidR="008C6679" w:rsidRDefault="008C6679" w:rsidP="008C6679">
      <w:pPr>
        <w:pStyle w:val="ListParagraph"/>
        <w:rPr>
          <w:b/>
          <w:sz w:val="20"/>
          <w:szCs w:val="20"/>
          <w:lang w:val="es-ES_tradnl"/>
        </w:rPr>
      </w:pPr>
    </w:p>
    <w:p w14:paraId="02C4772E" w14:textId="77777777" w:rsidR="00CD2AAD" w:rsidRDefault="00CD2AAD" w:rsidP="008C667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b/>
          <w:sz w:val="20"/>
          <w:szCs w:val="20"/>
          <w:lang w:val="es-ES_tradnl"/>
        </w:rPr>
      </w:pPr>
      <w:r w:rsidRPr="008C6679">
        <w:rPr>
          <w:rFonts w:ascii="Cambria" w:hAnsi="Cambria"/>
          <w:b/>
          <w:sz w:val="20"/>
          <w:szCs w:val="20"/>
          <w:lang w:val="es-ES_tradnl"/>
        </w:rPr>
        <w:t>LA COMISIÓN INTERAMERICANA DE DERECHOS HUMANOS RECOMIENDA AL ESTADO DE PERU,</w:t>
      </w:r>
    </w:p>
    <w:p w14:paraId="461CC793" w14:textId="77777777" w:rsidR="008C6679" w:rsidRPr="008C6679" w:rsidRDefault="008C6679" w:rsidP="008C667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VE"/>
        </w:rPr>
      </w:pPr>
    </w:p>
    <w:p w14:paraId="59211E28" w14:textId="77777777" w:rsidR="00CD2AAD" w:rsidRPr="008C6679" w:rsidRDefault="00CD2AAD" w:rsidP="00CD2A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666666"/>
          <w:sz w:val="15"/>
          <w:szCs w:val="15"/>
          <w:bdr w:val="none" w:sz="0" w:space="0" w:color="auto"/>
          <w:lang w:val="es-VE"/>
        </w:rPr>
      </w:pPr>
    </w:p>
    <w:p w14:paraId="668EC782" w14:textId="77777777" w:rsidR="00CD2AAD" w:rsidRDefault="00CD2AAD" w:rsidP="003E17D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lang w:val="es-CO"/>
        </w:rPr>
      </w:pPr>
      <w:r w:rsidRPr="00B6518A">
        <w:rPr>
          <w:spacing w:val="-2"/>
          <w:sz w:val="20"/>
          <w:szCs w:val="20"/>
          <w:lang w:val="es-CO"/>
        </w:rPr>
        <w:t>Reincorporar a la</w:t>
      </w:r>
      <w:r>
        <w:rPr>
          <w:spacing w:val="-2"/>
          <w:sz w:val="20"/>
          <w:szCs w:val="20"/>
          <w:lang w:val="es-CO"/>
        </w:rPr>
        <w:t>s</w:t>
      </w:r>
      <w:r w:rsidRPr="00B6518A">
        <w:rPr>
          <w:spacing w:val="-2"/>
          <w:sz w:val="20"/>
          <w:szCs w:val="20"/>
          <w:lang w:val="es-CO"/>
        </w:rPr>
        <w:t xml:space="preserve"> víctima</w:t>
      </w:r>
      <w:r>
        <w:rPr>
          <w:spacing w:val="-2"/>
          <w:sz w:val="20"/>
          <w:szCs w:val="20"/>
          <w:lang w:val="es-CO"/>
        </w:rPr>
        <w:t>s</w:t>
      </w:r>
      <w:r w:rsidRPr="00B6518A">
        <w:rPr>
          <w:spacing w:val="-2"/>
          <w:sz w:val="20"/>
          <w:szCs w:val="20"/>
          <w:lang w:val="es-CO"/>
        </w:rPr>
        <w:t xml:space="preserve"> en un cargo similar al que desempeñaba</w:t>
      </w:r>
      <w:r>
        <w:rPr>
          <w:spacing w:val="-2"/>
          <w:sz w:val="20"/>
          <w:szCs w:val="20"/>
          <w:lang w:val="es-CO"/>
        </w:rPr>
        <w:t>n</w:t>
      </w:r>
      <w:r w:rsidRPr="00B6518A">
        <w:rPr>
          <w:spacing w:val="-2"/>
          <w:sz w:val="20"/>
          <w:szCs w:val="20"/>
          <w:lang w:val="es-CO"/>
        </w:rPr>
        <w:t>, con la misma remuneración, beneficios sociales y rango equiparable a</w:t>
      </w:r>
      <w:r>
        <w:rPr>
          <w:spacing w:val="-2"/>
          <w:sz w:val="20"/>
          <w:szCs w:val="20"/>
          <w:lang w:val="es-CO"/>
        </w:rPr>
        <w:t>l</w:t>
      </w:r>
      <w:r w:rsidRPr="00B6518A">
        <w:rPr>
          <w:spacing w:val="-2"/>
          <w:sz w:val="20"/>
          <w:szCs w:val="20"/>
          <w:lang w:val="es-CO"/>
        </w:rPr>
        <w:t xml:space="preserve"> </w:t>
      </w:r>
      <w:r>
        <w:rPr>
          <w:spacing w:val="-2"/>
          <w:sz w:val="20"/>
          <w:szCs w:val="20"/>
          <w:lang w:val="es-CO"/>
        </w:rPr>
        <w:t>que le</w:t>
      </w:r>
      <w:r w:rsidR="00021D37">
        <w:rPr>
          <w:spacing w:val="-2"/>
          <w:sz w:val="20"/>
          <w:szCs w:val="20"/>
          <w:lang w:val="es-CO"/>
        </w:rPr>
        <w:t>s</w:t>
      </w:r>
      <w:r w:rsidRPr="00B6518A">
        <w:rPr>
          <w:spacing w:val="-2"/>
          <w:sz w:val="20"/>
          <w:szCs w:val="20"/>
          <w:lang w:val="es-CO"/>
        </w:rPr>
        <w:t xml:space="preserve"> correspondería el día </w:t>
      </w:r>
      <w:r>
        <w:rPr>
          <w:spacing w:val="-2"/>
          <w:sz w:val="20"/>
          <w:szCs w:val="20"/>
          <w:lang w:val="es-CO"/>
        </w:rPr>
        <w:t>de hoy si no hubieran sido cesadas. En caso de que esta no sea la voluntad de la</w:t>
      </w:r>
      <w:r w:rsidR="00023D0B">
        <w:rPr>
          <w:spacing w:val="-2"/>
          <w:sz w:val="20"/>
          <w:szCs w:val="20"/>
          <w:lang w:val="es-CO"/>
        </w:rPr>
        <w:t>s</w:t>
      </w:r>
      <w:r>
        <w:rPr>
          <w:spacing w:val="-2"/>
          <w:sz w:val="20"/>
          <w:szCs w:val="20"/>
          <w:lang w:val="es-CO"/>
        </w:rPr>
        <w:t xml:space="preserve"> víctima</w:t>
      </w:r>
      <w:r w:rsidR="00023D0B">
        <w:rPr>
          <w:spacing w:val="-2"/>
          <w:sz w:val="20"/>
          <w:szCs w:val="20"/>
          <w:lang w:val="es-CO"/>
        </w:rPr>
        <w:t>s</w:t>
      </w:r>
      <w:r>
        <w:rPr>
          <w:spacing w:val="-2"/>
          <w:sz w:val="20"/>
          <w:szCs w:val="20"/>
          <w:lang w:val="es-CO"/>
        </w:rPr>
        <w:t xml:space="preserve"> o que existan razones objetivas que impidan la reincorporación, el Estado deberá pagar una indemnización por este motivo, que es independiente de las reparaciones relativas al daño material y moral incluidas en la recomendación número dos. </w:t>
      </w:r>
    </w:p>
    <w:p w14:paraId="0E88C469" w14:textId="77777777" w:rsidR="00CD2AAD" w:rsidRPr="00D43E7C" w:rsidRDefault="00CD2AAD" w:rsidP="00CD2AAD">
      <w:pPr>
        <w:rPr>
          <w:spacing w:val="-2"/>
          <w:sz w:val="20"/>
          <w:szCs w:val="20"/>
        </w:rPr>
      </w:pPr>
    </w:p>
    <w:p w14:paraId="2FE39F20" w14:textId="77777777" w:rsidR="00023D0B" w:rsidRDefault="00CD2AAD" w:rsidP="003E17D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lang w:val="es-CO"/>
        </w:rPr>
      </w:pPr>
      <w:r>
        <w:rPr>
          <w:spacing w:val="-2"/>
          <w:sz w:val="20"/>
          <w:szCs w:val="20"/>
          <w:lang w:val="es-CO"/>
        </w:rPr>
        <w:t xml:space="preserve">Reparar integralmente las consecuencias de las violaciones declaradas en el presente informe, incluyendo tanto el daño material como el daño inmaterial. </w:t>
      </w:r>
    </w:p>
    <w:p w14:paraId="4A5C6431" w14:textId="77777777" w:rsidR="00023D0B" w:rsidRPr="00023D0B" w:rsidRDefault="00023D0B" w:rsidP="00023D0B">
      <w:pPr>
        <w:pStyle w:val="ListParagraph"/>
        <w:rPr>
          <w:spacing w:val="-2"/>
          <w:sz w:val="20"/>
          <w:szCs w:val="20"/>
          <w:lang w:val="es-CO"/>
        </w:rPr>
      </w:pPr>
    </w:p>
    <w:p w14:paraId="557C9646" w14:textId="77777777" w:rsidR="00021D37" w:rsidRDefault="00055E09" w:rsidP="003E17D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lang w:val="es-CO"/>
        </w:rPr>
      </w:pPr>
      <w:r>
        <w:rPr>
          <w:spacing w:val="-2"/>
          <w:sz w:val="20"/>
          <w:szCs w:val="20"/>
          <w:lang w:val="es-CO"/>
        </w:rPr>
        <w:t>Adoptar medidas de no repetición necesarias para evitar que en el futuro se produzcan hechos similares. En particular, asegurar la aplicación de las reglas del debido proceso en el marco de procesos de evaluación y ratificación de jueces y fiscales, disponiendo de</w:t>
      </w:r>
      <w:r w:rsidR="00023D0B" w:rsidRPr="00055E09">
        <w:rPr>
          <w:spacing w:val="-2"/>
          <w:sz w:val="20"/>
          <w:szCs w:val="20"/>
          <w:lang w:val="es-CO"/>
        </w:rPr>
        <w:t xml:space="preserve"> las medidas legislativas y de otra índole que sean necesarias para asegurar que los</w:t>
      </w:r>
      <w:r w:rsidR="00335AB6">
        <w:rPr>
          <w:spacing w:val="-2"/>
          <w:sz w:val="20"/>
          <w:szCs w:val="20"/>
          <w:lang w:val="es-CO"/>
        </w:rPr>
        <w:t xml:space="preserve"> referidos </w:t>
      </w:r>
      <w:r w:rsidR="00023D0B" w:rsidRPr="00055E09">
        <w:rPr>
          <w:spacing w:val="-2"/>
          <w:sz w:val="20"/>
          <w:szCs w:val="20"/>
          <w:lang w:val="es-CO"/>
        </w:rPr>
        <w:t>procesos cumplan con los estándares descritos en el presente inform</w:t>
      </w:r>
      <w:r w:rsidR="00023D0B" w:rsidRPr="00052E90">
        <w:rPr>
          <w:spacing w:val="-2"/>
          <w:sz w:val="20"/>
          <w:szCs w:val="20"/>
          <w:lang w:val="es-CO"/>
        </w:rPr>
        <w:t xml:space="preserve">e. En particular, el Estado deberá efectuar las modificaciones legislativas </w:t>
      </w:r>
      <w:r w:rsidR="007C677B">
        <w:rPr>
          <w:spacing w:val="-2"/>
          <w:sz w:val="20"/>
          <w:szCs w:val="20"/>
          <w:lang w:val="es-CO"/>
        </w:rPr>
        <w:t xml:space="preserve">y de práctica </w:t>
      </w:r>
      <w:r w:rsidR="00023D0B" w:rsidRPr="00052E90">
        <w:rPr>
          <w:spacing w:val="-2"/>
          <w:sz w:val="20"/>
          <w:szCs w:val="20"/>
          <w:lang w:val="es-CO"/>
        </w:rPr>
        <w:t>necesarias para:</w:t>
      </w:r>
      <w:r w:rsidR="00C07B57">
        <w:rPr>
          <w:spacing w:val="-2"/>
          <w:sz w:val="20"/>
          <w:szCs w:val="20"/>
          <w:lang w:val="es-CO"/>
        </w:rPr>
        <w:t xml:space="preserve"> </w:t>
      </w:r>
      <w:r w:rsidR="00021D37">
        <w:rPr>
          <w:spacing w:val="-2"/>
          <w:sz w:val="20"/>
          <w:szCs w:val="20"/>
          <w:lang w:val="es-CO"/>
        </w:rPr>
        <w:t xml:space="preserve">i) asegurar que los procesos de evaluación y ratificación de jueces y fiscales obedezcan a un control jurídico y no constituyan un voto de confianza; ii) regular debidamente las faltas cometidas </w:t>
      </w:r>
      <w:r w:rsidR="00602796">
        <w:rPr>
          <w:spacing w:val="-2"/>
          <w:sz w:val="20"/>
          <w:szCs w:val="20"/>
          <w:lang w:val="es-CO"/>
        </w:rPr>
        <w:t>que dan lugar a la no ratificación de un juez o fiscal, con base en criterios objetivos y de manera proporcional</w:t>
      </w:r>
      <w:r w:rsidR="00021D37">
        <w:rPr>
          <w:spacing w:val="-2"/>
          <w:sz w:val="20"/>
          <w:szCs w:val="20"/>
          <w:lang w:val="es-CO"/>
        </w:rPr>
        <w:t>; iii) permitir que los jueces y fiscales puedan</w:t>
      </w:r>
      <w:r w:rsidR="00602796">
        <w:rPr>
          <w:spacing w:val="-2"/>
          <w:sz w:val="20"/>
          <w:szCs w:val="20"/>
          <w:lang w:val="es-CO"/>
        </w:rPr>
        <w:t xml:space="preserve"> defenderse frente a los cargos puntuales en su contra a la luz de dichos criterios objetivos, así como</w:t>
      </w:r>
      <w:r w:rsidR="00021D37">
        <w:rPr>
          <w:spacing w:val="-2"/>
          <w:sz w:val="20"/>
          <w:szCs w:val="20"/>
          <w:lang w:val="es-CO"/>
        </w:rPr>
        <w:t xml:space="preserve"> contar con un recurso jerárquico en el marco del proceso en su contra, a fin de que puedan contar con un doble conforme de la sanción impuesta, de manera independiente al recurso judicial por posibles violaciones al debido proceso; </w:t>
      </w:r>
      <w:r w:rsidR="002922C0">
        <w:rPr>
          <w:spacing w:val="-2"/>
          <w:sz w:val="20"/>
          <w:szCs w:val="20"/>
          <w:lang w:val="es-CO"/>
        </w:rPr>
        <w:t xml:space="preserve">y </w:t>
      </w:r>
      <w:r w:rsidR="00FA6402">
        <w:rPr>
          <w:spacing w:val="-2"/>
          <w:sz w:val="20"/>
          <w:szCs w:val="20"/>
          <w:lang w:val="es-CO"/>
        </w:rPr>
        <w:t>iv) asegurar que el recurso judicial por posibles violaciones al debido proceso en este tipo de procedimientos sea accesible y sencillo y permita un pronunciamiento sobre el fondo.</w:t>
      </w:r>
    </w:p>
    <w:p w14:paraId="279DD98B" w14:textId="77777777" w:rsidR="00021D37" w:rsidRDefault="00021D37" w:rsidP="00021D3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pacing w:val="-2"/>
          <w:sz w:val="20"/>
          <w:szCs w:val="20"/>
          <w:lang w:val="es-CO"/>
        </w:rPr>
      </w:pPr>
    </w:p>
    <w:p w14:paraId="6DAF625D" w14:textId="77777777" w:rsidR="0013185B" w:rsidRDefault="0013185B" w:rsidP="0013185B">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ciudad de Washington, D.C. a los 7 días del mes de diciembre de 2018.  (Firmado): Margarette May Macaulay, Presidenta; Esmeralda Arosemena de Troitiño, Primera Vicepresidenta; Francisco José Eguiguren Praeli, Joel Hernández García, Antonia Urrejola y Flavia Piovesan, Miembros de la Comisión.</w:t>
      </w:r>
      <w:r>
        <w:rPr>
          <w:rFonts w:ascii="Cambria" w:hAnsi="Cambria"/>
          <w:sz w:val="20"/>
          <w:szCs w:val="20"/>
          <w:lang w:val="es-CL"/>
        </w:rPr>
        <w:t xml:space="preserve"> </w:t>
      </w:r>
    </w:p>
    <w:p w14:paraId="7C5D84D0" w14:textId="77777777" w:rsidR="0013185B" w:rsidRDefault="0013185B" w:rsidP="0013185B">
      <w:pPr>
        <w:ind w:firstLine="720"/>
        <w:jc w:val="both"/>
        <w:rPr>
          <w:rFonts w:ascii="Cambria" w:hAnsi="Cambria"/>
          <w:spacing w:val="-2"/>
          <w:sz w:val="20"/>
          <w:szCs w:val="20"/>
          <w:lang w:val="es-CL"/>
        </w:rPr>
      </w:pPr>
    </w:p>
    <w:p w14:paraId="2ABD29A8" w14:textId="77777777" w:rsidR="0013185B" w:rsidRDefault="0013185B" w:rsidP="0013185B">
      <w:pPr>
        <w:ind w:firstLine="720"/>
        <w:jc w:val="both"/>
        <w:rPr>
          <w:rFonts w:ascii="Cambria" w:hAnsi="Cambria"/>
          <w:spacing w:val="-2"/>
          <w:sz w:val="20"/>
          <w:szCs w:val="20"/>
          <w:lang w:val="es-CL"/>
        </w:rPr>
      </w:pPr>
    </w:p>
    <w:p w14:paraId="35F3E2E1" w14:textId="77777777" w:rsidR="0013185B" w:rsidRDefault="0013185B" w:rsidP="0013185B">
      <w:pPr>
        <w:ind w:firstLine="720"/>
        <w:jc w:val="both"/>
        <w:rPr>
          <w:rFonts w:ascii="Cambria" w:hAnsi="Cambria"/>
          <w:spacing w:val="-2"/>
          <w:sz w:val="20"/>
          <w:szCs w:val="20"/>
          <w:lang w:val="es-CL"/>
        </w:rPr>
      </w:pPr>
    </w:p>
    <w:p w14:paraId="6853AB33" w14:textId="77777777" w:rsidR="0013185B" w:rsidRDefault="0013185B" w:rsidP="0013185B">
      <w:pPr>
        <w:ind w:firstLine="720"/>
        <w:jc w:val="both"/>
        <w:rPr>
          <w:rFonts w:ascii="Cambria" w:hAnsi="Cambria"/>
          <w:sz w:val="20"/>
          <w:szCs w:val="20"/>
          <w:lang w:val="es-CL"/>
        </w:rPr>
      </w:pPr>
      <w:r>
        <w:rPr>
          <w:rFonts w:ascii="Cambria" w:hAnsi="Cambria"/>
          <w:sz w:val="20"/>
          <w:szCs w:val="20"/>
          <w:lang w:val="es-CL"/>
        </w:rPr>
        <w:t xml:space="preserve">El que suscribe, </w:t>
      </w:r>
      <w:r w:rsidRPr="0066757A">
        <w:rPr>
          <w:rFonts w:ascii="Cambria" w:hAnsi="Cambria" w:cs="Arial"/>
          <w:sz w:val="20"/>
          <w:szCs w:val="20"/>
          <w:lang w:val="es-PE"/>
        </w:rPr>
        <w:t>Paulo Abrão</w:t>
      </w:r>
      <w:r>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14:paraId="6CDBBF15" w14:textId="77777777" w:rsidR="0013185B" w:rsidRPr="0066757A" w:rsidRDefault="0013185B" w:rsidP="0013185B">
      <w:pPr>
        <w:rPr>
          <w:rFonts w:ascii="Cambria" w:hAnsi="Cambria"/>
          <w:sz w:val="20"/>
          <w:szCs w:val="20"/>
          <w:lang w:val="es-PE"/>
        </w:rPr>
      </w:pPr>
    </w:p>
    <w:p w14:paraId="453E76A0" w14:textId="77777777" w:rsidR="0013185B" w:rsidRPr="0066757A" w:rsidRDefault="0013185B" w:rsidP="0013185B">
      <w:pPr>
        <w:rPr>
          <w:rFonts w:ascii="Cambria" w:hAnsi="Cambria"/>
          <w:sz w:val="20"/>
          <w:szCs w:val="20"/>
          <w:lang w:val="es-PE"/>
        </w:rPr>
      </w:pPr>
    </w:p>
    <w:p w14:paraId="0859A47B" w14:textId="77777777" w:rsidR="0013185B" w:rsidRPr="0066757A" w:rsidRDefault="0013185B" w:rsidP="0013185B">
      <w:pPr>
        <w:rPr>
          <w:rFonts w:ascii="Cambria" w:hAnsi="Cambria"/>
          <w:sz w:val="20"/>
          <w:szCs w:val="20"/>
          <w:lang w:val="es-PE"/>
        </w:rPr>
      </w:pPr>
    </w:p>
    <w:p w14:paraId="7207B9AE" w14:textId="77777777" w:rsidR="0013185B" w:rsidRPr="0066757A" w:rsidRDefault="0013185B" w:rsidP="0013185B">
      <w:pPr>
        <w:rPr>
          <w:rFonts w:ascii="Cambria" w:hAnsi="Cambria"/>
          <w:sz w:val="20"/>
          <w:szCs w:val="20"/>
          <w:lang w:val="es-PE"/>
        </w:rPr>
      </w:pPr>
    </w:p>
    <w:p w14:paraId="2D6B2E7D" w14:textId="77777777" w:rsidR="0013185B" w:rsidRPr="0066757A" w:rsidRDefault="0013185B" w:rsidP="0013185B">
      <w:pPr>
        <w:rPr>
          <w:rFonts w:ascii="Cambria" w:hAnsi="Cambria"/>
          <w:sz w:val="20"/>
          <w:szCs w:val="20"/>
          <w:lang w:val="es-PE"/>
        </w:rPr>
      </w:pPr>
    </w:p>
    <w:p w14:paraId="03E34901" w14:textId="77777777" w:rsidR="0013185B" w:rsidRPr="00F21419" w:rsidRDefault="0013185B" w:rsidP="0013185B">
      <w:pPr>
        <w:ind w:left="2160" w:firstLine="720"/>
        <w:jc w:val="center"/>
        <w:rPr>
          <w:rFonts w:ascii="Cambria" w:hAnsi="Cambria"/>
          <w:sz w:val="20"/>
          <w:szCs w:val="20"/>
        </w:rPr>
      </w:pPr>
      <w:r w:rsidRPr="00D57D47">
        <w:rPr>
          <w:rFonts w:ascii="Cambria" w:hAnsi="Cambria" w:cs="Arial"/>
          <w:sz w:val="20"/>
          <w:szCs w:val="20"/>
        </w:rPr>
        <w:t>Paulo Abrão</w:t>
      </w:r>
    </w:p>
    <w:p w14:paraId="41746BCD" w14:textId="77777777" w:rsidR="0013185B" w:rsidRPr="0013185B" w:rsidRDefault="0013185B" w:rsidP="0013185B">
      <w:pPr>
        <w:ind w:left="2160" w:firstLine="720"/>
        <w:jc w:val="center"/>
        <w:rPr>
          <w:rFonts w:ascii="Cambria" w:hAnsi="Cambria"/>
          <w:sz w:val="20"/>
          <w:szCs w:val="20"/>
        </w:rPr>
      </w:pPr>
      <w:r w:rsidRPr="00F21419">
        <w:rPr>
          <w:rFonts w:ascii="Cambria" w:hAnsi="Cambria"/>
          <w:sz w:val="20"/>
          <w:szCs w:val="20"/>
        </w:rPr>
        <w:t>Secretario Ejecutivo</w:t>
      </w:r>
    </w:p>
    <w:p w14:paraId="2A587968" w14:textId="77777777" w:rsidR="0013185B" w:rsidRPr="00FA6402" w:rsidRDefault="0013185B" w:rsidP="00FA64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pacing w:val="-2"/>
          <w:sz w:val="20"/>
          <w:szCs w:val="20"/>
        </w:rPr>
      </w:pPr>
    </w:p>
    <w:sectPr w:rsidR="0013185B" w:rsidRPr="00FA6402" w:rsidSect="00AC1705">
      <w:footerReference w:type="defaul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1DEEE" w14:textId="77777777" w:rsidR="00CD0E5C" w:rsidRDefault="00CD0E5C">
      <w:r>
        <w:separator/>
      </w:r>
    </w:p>
  </w:endnote>
  <w:endnote w:type="continuationSeparator" w:id="0">
    <w:p w14:paraId="32399982" w14:textId="77777777" w:rsidR="00CD0E5C" w:rsidRDefault="00CD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3437D" w14:textId="77777777" w:rsidR="00CD0E5C" w:rsidRDefault="00CD0E5C">
    <w:pPr>
      <w:pStyle w:val="Footer"/>
      <w:jc w:val="center"/>
    </w:pPr>
  </w:p>
  <w:p w14:paraId="0F90EA01" w14:textId="77777777" w:rsidR="00CD0E5C" w:rsidRDefault="00CD0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E268" w14:textId="77777777" w:rsidR="00CD0E5C" w:rsidRPr="00934A2C" w:rsidRDefault="00CD0E5C">
    <w:pPr>
      <w:pStyle w:val="Footer"/>
      <w:jc w:val="center"/>
      <w:rPr>
        <w:sz w:val="16"/>
        <w:szCs w:val="22"/>
      </w:rPr>
    </w:pPr>
  </w:p>
  <w:p w14:paraId="326272C5" w14:textId="77777777" w:rsidR="00CD0E5C" w:rsidRDefault="00CD0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85226817"/>
      <w:docPartObj>
        <w:docPartGallery w:val="Page Numbers (Bottom of Page)"/>
        <w:docPartUnique/>
      </w:docPartObj>
    </w:sdtPr>
    <w:sdtEndPr>
      <w:rPr>
        <w:noProof/>
        <w:sz w:val="24"/>
        <w:szCs w:val="24"/>
      </w:rPr>
    </w:sdtEndPr>
    <w:sdtContent>
      <w:p w14:paraId="0B89D511" w14:textId="77777777" w:rsidR="00CD0E5C" w:rsidRDefault="00CD0E5C">
        <w:pPr>
          <w:pStyle w:val="Footer"/>
          <w:jc w:val="center"/>
        </w:pPr>
        <w:r w:rsidRPr="00AC1705">
          <w:rPr>
            <w:sz w:val="18"/>
            <w:szCs w:val="18"/>
          </w:rPr>
          <w:fldChar w:fldCharType="begin"/>
        </w:r>
        <w:r w:rsidRPr="00AC1705">
          <w:rPr>
            <w:sz w:val="18"/>
            <w:szCs w:val="18"/>
          </w:rPr>
          <w:instrText xml:space="preserve"> PAGE   \* MERGEFORMAT </w:instrText>
        </w:r>
        <w:r w:rsidRPr="00AC1705">
          <w:rPr>
            <w:sz w:val="18"/>
            <w:szCs w:val="18"/>
          </w:rPr>
          <w:fldChar w:fldCharType="separate"/>
        </w:r>
        <w:r w:rsidR="00052E54">
          <w:rPr>
            <w:noProof/>
            <w:sz w:val="18"/>
            <w:szCs w:val="18"/>
          </w:rPr>
          <w:t>20</w:t>
        </w:r>
        <w:r w:rsidRPr="00AC1705">
          <w:rPr>
            <w:noProof/>
            <w:sz w:val="18"/>
            <w:szCs w:val="18"/>
          </w:rPr>
          <w:fldChar w:fldCharType="end"/>
        </w:r>
      </w:p>
    </w:sdtContent>
  </w:sdt>
  <w:p w14:paraId="41BF95DD" w14:textId="77777777" w:rsidR="00CD0E5C" w:rsidRDefault="00CD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EA9D1" w14:textId="77777777" w:rsidR="00CD0E5C" w:rsidRPr="000F35ED" w:rsidRDefault="00CD0E5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00A0E5" w14:textId="77777777" w:rsidR="00CD0E5C" w:rsidRPr="000F35ED" w:rsidRDefault="00CD0E5C" w:rsidP="000F35ED">
      <w:pPr>
        <w:rPr>
          <w:rFonts w:asciiTheme="majorHAnsi" w:hAnsiTheme="majorHAnsi"/>
          <w:sz w:val="16"/>
          <w:szCs w:val="16"/>
        </w:rPr>
      </w:pPr>
      <w:r w:rsidRPr="000F35ED">
        <w:rPr>
          <w:rFonts w:asciiTheme="majorHAnsi" w:hAnsiTheme="majorHAnsi"/>
          <w:sz w:val="16"/>
          <w:szCs w:val="16"/>
        </w:rPr>
        <w:separator/>
      </w:r>
    </w:p>
    <w:p w14:paraId="3C292AE3" w14:textId="77777777" w:rsidR="00CD0E5C" w:rsidRPr="000F35ED" w:rsidRDefault="00CD0E5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9DEB0F" w14:textId="77777777" w:rsidR="00CD0E5C" w:rsidRPr="000F35ED" w:rsidRDefault="00CD0E5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C74A285" w14:textId="77777777" w:rsidR="00CD0E5C" w:rsidRPr="007A560B" w:rsidRDefault="00CD0E5C" w:rsidP="00161DCA">
      <w:pPr>
        <w:pStyle w:val="FootnoteText"/>
        <w:contextualSpacing/>
        <w:jc w:val="both"/>
        <w:rPr>
          <w:rFonts w:asciiTheme="majorHAnsi" w:hAnsiTheme="majorHAnsi"/>
          <w:color w:val="auto"/>
          <w:sz w:val="16"/>
          <w:szCs w:val="16"/>
          <w:lang w:val="es-CO"/>
        </w:rPr>
      </w:pPr>
      <w:r w:rsidRPr="007A560B">
        <w:rPr>
          <w:rStyle w:val="FootnoteReference"/>
          <w:rFonts w:asciiTheme="majorHAnsi" w:hAnsiTheme="majorHAnsi"/>
          <w:sz w:val="16"/>
          <w:szCs w:val="16"/>
          <w:lang w:val="es-CO"/>
        </w:rPr>
        <w:footnoteRef/>
      </w:r>
      <w:r w:rsidRPr="007A560B">
        <w:rPr>
          <w:rFonts w:asciiTheme="majorHAnsi" w:hAnsiTheme="majorHAnsi"/>
          <w:sz w:val="16"/>
          <w:szCs w:val="16"/>
          <w:lang w:val="es-CO"/>
        </w:rPr>
        <w:t xml:space="preserve"> Conforme </w:t>
      </w:r>
      <w:r w:rsidRPr="007A560B">
        <w:rPr>
          <w:rFonts w:asciiTheme="majorHAnsi" w:hAnsiTheme="majorHAnsi"/>
          <w:color w:val="auto"/>
          <w:sz w:val="16"/>
          <w:szCs w:val="16"/>
          <w:lang w:val="es-CO"/>
        </w:rPr>
        <w:t>a lo dispuesto en el artículo 17.2 del Reglamento de la Comisión, el Comisionado Francisco José Eguiguren Praeli, de nacionalidad peruana, no participó en el debate ni en la decisión del presente caso</w:t>
      </w:r>
      <w:r w:rsidRPr="007A560B">
        <w:rPr>
          <w:rFonts w:asciiTheme="majorHAnsi" w:hAnsiTheme="majorHAnsi" w:cs="Tahoma"/>
          <w:color w:val="auto"/>
          <w:sz w:val="16"/>
          <w:szCs w:val="16"/>
          <w:lang w:val="es-CO"/>
        </w:rPr>
        <w:t>.</w:t>
      </w:r>
    </w:p>
  </w:footnote>
  <w:footnote w:id="3">
    <w:p w14:paraId="418B768C" w14:textId="77777777" w:rsidR="00CD0E5C" w:rsidRPr="007A560B" w:rsidRDefault="00CD0E5C" w:rsidP="00161DCA">
      <w:pPr>
        <w:pStyle w:val="FootnoteText"/>
        <w:contextualSpacing/>
        <w:jc w:val="both"/>
        <w:rPr>
          <w:rFonts w:asciiTheme="majorHAnsi" w:hAnsiTheme="majorHAnsi"/>
          <w:color w:val="auto"/>
          <w:sz w:val="16"/>
          <w:szCs w:val="16"/>
          <w:lang w:val="es-CO"/>
        </w:rPr>
      </w:pPr>
      <w:r w:rsidRPr="007A560B">
        <w:rPr>
          <w:rStyle w:val="FootnoteReference"/>
          <w:rFonts w:asciiTheme="majorHAnsi" w:hAnsiTheme="majorHAnsi"/>
          <w:color w:val="auto"/>
          <w:sz w:val="16"/>
          <w:szCs w:val="16"/>
          <w:lang w:val="es-CO"/>
        </w:rPr>
        <w:footnoteRef/>
      </w:r>
      <w:r w:rsidRPr="007A560B">
        <w:rPr>
          <w:rFonts w:asciiTheme="majorHAnsi" w:hAnsiTheme="majorHAnsi"/>
          <w:color w:val="auto"/>
          <w:sz w:val="16"/>
          <w:szCs w:val="16"/>
          <w:lang w:val="es-CO"/>
        </w:rPr>
        <w:t xml:space="preserve"> CIDH. Informe No. 19/15. Petición 320-03 y otras. Jorge Luis Cuya y otros. Perú. 24 de marzo de 2015. En dicho informe, la CIDH declaró admisibles los reclamos relacionados con los artículos 8, 9, 23 y 25 en relación con el artículo 1.1 y 2 de la Convención Americana, e inadmisibles los reclamos relacionados con los artículos 5, 11, 24 y 26 del mismo instrumento.</w:t>
      </w:r>
    </w:p>
  </w:footnote>
  <w:footnote w:id="4">
    <w:p w14:paraId="1E4FB579"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sidRPr="007A560B">
        <w:rPr>
          <w:rFonts w:asciiTheme="majorHAnsi" w:hAnsiTheme="majorHAnsi"/>
          <w:sz w:val="16"/>
          <w:szCs w:val="16"/>
          <w:lang w:val="es-CO"/>
        </w:rPr>
        <w:t xml:space="preserve"> Constitución Política del Perú, promulgada el 29 de diciembre de 1993.</w:t>
      </w:r>
    </w:p>
  </w:footnote>
  <w:footnote w:id="5">
    <w:p w14:paraId="72F1A9E9"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sidRPr="007A560B">
        <w:rPr>
          <w:rFonts w:asciiTheme="majorHAnsi" w:hAnsiTheme="majorHAnsi"/>
          <w:sz w:val="16"/>
          <w:szCs w:val="16"/>
          <w:lang w:val="es-CO"/>
        </w:rPr>
        <w:t xml:space="preserve"> Ley N° 26397, Ley Orgánica del Consejo Nacional de la Magistratura, promulgada el 25 de noviembre de 1994.</w:t>
      </w:r>
    </w:p>
  </w:footnote>
  <w:footnote w:id="6">
    <w:p w14:paraId="3C10505F"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Reglamento del Proceso de Evaluación y Ratificación de Jueces del Poder Judicial y Fiscales del Ministerio Público, aprobado a través de resolución 043-2000-CNM de 16 de noviembre de 2000.</w:t>
      </w:r>
    </w:p>
  </w:footnote>
  <w:footnote w:id="7">
    <w:p w14:paraId="58E828BF"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Reglamento del Proceso de Evaluación y Ratificación de Jueces del Poder Judicial y Fiscales del Ministerio Público, aprobado a través de resolución 043-2000-CNM de 16 de noviembre de 2000.</w:t>
      </w:r>
    </w:p>
  </w:footnote>
  <w:footnote w:id="8">
    <w:p w14:paraId="5D70183A" w14:textId="77777777" w:rsidR="00CD0E5C" w:rsidRPr="00892B5F" w:rsidRDefault="00CD0E5C" w:rsidP="00161DCA">
      <w:pPr>
        <w:pStyle w:val="FootnoteText"/>
        <w:contextualSpacing/>
        <w:jc w:val="both"/>
        <w:rPr>
          <w:rFonts w:asciiTheme="majorHAnsi" w:hAnsiTheme="majorHAnsi"/>
          <w:sz w:val="16"/>
          <w:szCs w:val="16"/>
          <w:lang w:val="es-CO"/>
        </w:rPr>
      </w:pPr>
      <w:r w:rsidRPr="00892B5F">
        <w:rPr>
          <w:rStyle w:val="FootnoteReference"/>
          <w:rFonts w:asciiTheme="majorHAnsi" w:hAnsiTheme="majorHAnsi"/>
          <w:sz w:val="16"/>
          <w:szCs w:val="16"/>
          <w:lang w:val="es-CO"/>
        </w:rPr>
        <w:footnoteRef/>
      </w:r>
      <w:r w:rsidRPr="00892B5F">
        <w:rPr>
          <w:rFonts w:asciiTheme="majorHAnsi" w:hAnsiTheme="majorHAnsi"/>
          <w:sz w:val="16"/>
          <w:szCs w:val="16"/>
          <w:lang w:val="es-CO"/>
        </w:rPr>
        <w:t xml:space="preserve"> Reglamento del Proceso de Evaluación y Ratificación de Jueces del Poder Judicial y Fiscales del Ministerio Público, aprobado a través de resolución 043-2000-CNM de 16 de noviembre de 2000.</w:t>
      </w:r>
    </w:p>
  </w:footnote>
  <w:footnote w:id="9">
    <w:p w14:paraId="305E580A" w14:textId="77777777" w:rsidR="00CD0E5C" w:rsidRPr="007A560B" w:rsidRDefault="00CD0E5C" w:rsidP="00161DCA">
      <w:pPr>
        <w:pStyle w:val="FootnoteText"/>
        <w:contextualSpacing/>
        <w:jc w:val="both"/>
        <w:rPr>
          <w:rFonts w:asciiTheme="majorHAnsi" w:hAnsiTheme="majorHAnsi"/>
          <w:sz w:val="16"/>
          <w:szCs w:val="16"/>
          <w:lang w:val="es-CO"/>
        </w:rPr>
      </w:pPr>
      <w:r w:rsidRPr="00892B5F">
        <w:rPr>
          <w:rFonts w:asciiTheme="majorHAnsi" w:hAnsiTheme="majorHAnsi"/>
          <w:sz w:val="16"/>
          <w:szCs w:val="16"/>
          <w:vertAlign w:val="superscript"/>
          <w:lang w:val="es-CO"/>
        </w:rPr>
        <w:footnoteRef/>
      </w:r>
      <w:r w:rsidRPr="00892B5F">
        <w:rPr>
          <w:rFonts w:asciiTheme="majorHAnsi" w:hAnsiTheme="majorHAnsi"/>
          <w:sz w:val="16"/>
          <w:szCs w:val="16"/>
          <w:lang w:val="es-CO"/>
        </w:rPr>
        <w:t xml:space="preserve"> Este reglamento fue aplicado a los peticionarios Cuya Lavy y Valenzuela Cerna. A los peticionarios Díaz Alvarado y Rodríguez Ricse les fue aplicado el reglamento anterior.</w:t>
      </w:r>
    </w:p>
  </w:footnote>
  <w:footnote w:id="10">
    <w:p w14:paraId="2E6451D9"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sidRPr="007A560B">
        <w:rPr>
          <w:rFonts w:asciiTheme="majorHAnsi" w:hAnsiTheme="majorHAnsi"/>
          <w:sz w:val="16"/>
          <w:szCs w:val="16"/>
          <w:lang w:val="es-CO"/>
        </w:rPr>
        <w:t xml:space="preserve"> Sentencia del Tribunal Constitucional emitida dentro del expediente N.° 1550-2003-AA/TC, 16 de julio de 2003.</w:t>
      </w:r>
    </w:p>
  </w:footnote>
  <w:footnote w:id="11">
    <w:p w14:paraId="59A4BFFB"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sidRPr="007A560B">
        <w:rPr>
          <w:rFonts w:asciiTheme="majorHAnsi" w:hAnsiTheme="majorHAnsi"/>
          <w:sz w:val="16"/>
          <w:szCs w:val="16"/>
          <w:lang w:val="es-CO"/>
        </w:rPr>
        <w:t xml:space="preserve"> Sentencia del Tribunal Constitucional emitida dentro del expediente N.° 3661-2004-AA/TC, 12 de agosto de 2005.</w:t>
      </w:r>
    </w:p>
  </w:footnote>
  <w:footnote w:id="12">
    <w:p w14:paraId="2065EB55"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Pr>
          <w:rFonts w:asciiTheme="majorHAnsi" w:hAnsiTheme="majorHAnsi"/>
          <w:sz w:val="16"/>
          <w:szCs w:val="16"/>
          <w:lang w:val="es-CO"/>
        </w:rPr>
        <w:t xml:space="preserve"> Anexo 1</w:t>
      </w:r>
      <w:r w:rsidRPr="007A560B">
        <w:rPr>
          <w:rFonts w:asciiTheme="majorHAnsi" w:hAnsiTheme="majorHAnsi"/>
          <w:sz w:val="16"/>
          <w:szCs w:val="16"/>
          <w:lang w:val="es-CO"/>
        </w:rPr>
        <w:t>. Título de nombramiento como Juez Especializado en lo Civil del Distrito Judicial de Lima emitido por el Jurado de Honor de la Magistratura con fecha 9 de noviembre de 1994. Anexo a la petición inicial</w:t>
      </w:r>
      <w:r>
        <w:rPr>
          <w:rFonts w:asciiTheme="majorHAnsi" w:hAnsiTheme="majorHAnsi"/>
          <w:sz w:val="16"/>
          <w:szCs w:val="16"/>
          <w:lang w:val="es-CO"/>
        </w:rPr>
        <w:t xml:space="preserve"> del peticionario Cuya Lavy</w:t>
      </w:r>
      <w:r w:rsidRPr="007A560B">
        <w:rPr>
          <w:rFonts w:asciiTheme="majorHAnsi" w:hAnsiTheme="majorHAnsi"/>
          <w:sz w:val="16"/>
          <w:szCs w:val="16"/>
          <w:lang w:val="es-CO"/>
        </w:rPr>
        <w:t xml:space="preserve"> de 30 de abril de 2003. </w:t>
      </w:r>
    </w:p>
  </w:footnote>
  <w:footnote w:id="13">
    <w:p w14:paraId="0101EBFB"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Pr>
          <w:rFonts w:asciiTheme="majorHAnsi" w:hAnsiTheme="majorHAnsi"/>
          <w:sz w:val="16"/>
          <w:szCs w:val="16"/>
          <w:lang w:val="es-CO"/>
        </w:rPr>
        <w:t xml:space="preserve"> Anexo 2</w:t>
      </w:r>
      <w:r w:rsidRPr="007A560B">
        <w:rPr>
          <w:rFonts w:asciiTheme="majorHAnsi" w:hAnsiTheme="majorHAnsi"/>
          <w:sz w:val="16"/>
          <w:szCs w:val="16"/>
          <w:lang w:val="es-CO"/>
        </w:rPr>
        <w:t>. Resolución administrativa N° 115-94-CE-PJ emitida por la Corte Suprema de Justicia, 21 de noviembre de 1994. Anexo a la petición inicial</w:t>
      </w:r>
      <w:r>
        <w:rPr>
          <w:rFonts w:asciiTheme="majorHAnsi" w:hAnsiTheme="majorHAnsi"/>
          <w:sz w:val="16"/>
          <w:szCs w:val="16"/>
          <w:lang w:val="es-CO"/>
        </w:rPr>
        <w:t xml:space="preserve"> del peticionario Cuya Lavy</w:t>
      </w:r>
      <w:r w:rsidRPr="007A560B">
        <w:rPr>
          <w:rFonts w:asciiTheme="majorHAnsi" w:hAnsiTheme="majorHAnsi"/>
          <w:sz w:val="16"/>
          <w:szCs w:val="16"/>
          <w:lang w:val="es-CO"/>
        </w:rPr>
        <w:t xml:space="preserve"> de 30 de abril de 2003.</w:t>
      </w:r>
    </w:p>
  </w:footnote>
  <w:footnote w:id="14">
    <w:p w14:paraId="41C6B654"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3</w:t>
      </w:r>
      <w:r w:rsidRPr="007A560B">
        <w:rPr>
          <w:rFonts w:asciiTheme="majorHAnsi" w:hAnsiTheme="majorHAnsi"/>
          <w:sz w:val="16"/>
          <w:szCs w:val="16"/>
          <w:lang w:val="es-CO"/>
        </w:rPr>
        <w:t>. Convocatoria N°004-2002-CNM, emitida por el Consejo Nacional de la Magistratura, 19 de setiembre de 2002.Anexo a la petición inicial</w:t>
      </w:r>
      <w:r>
        <w:rPr>
          <w:rFonts w:asciiTheme="majorHAnsi" w:hAnsiTheme="majorHAnsi"/>
          <w:sz w:val="16"/>
          <w:szCs w:val="16"/>
          <w:lang w:val="es-CO"/>
        </w:rPr>
        <w:t xml:space="preserve"> del peticionario Cuya Lavy</w:t>
      </w:r>
      <w:r w:rsidRPr="007A560B">
        <w:rPr>
          <w:rFonts w:asciiTheme="majorHAnsi" w:hAnsiTheme="majorHAnsi"/>
          <w:sz w:val="16"/>
          <w:szCs w:val="16"/>
          <w:lang w:val="es-CO"/>
        </w:rPr>
        <w:t xml:space="preserve"> de 30 de abril de 2003.</w:t>
      </w:r>
    </w:p>
  </w:footnote>
  <w:footnote w:id="15">
    <w:p w14:paraId="7F4D8C8E" w14:textId="77777777" w:rsidR="00CD0E5C" w:rsidRPr="004A1FC2"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sz w:val="16"/>
          <w:szCs w:val="16"/>
          <w:lang w:val="es-CO"/>
        </w:rPr>
        <w:t>Anexo 3</w:t>
      </w:r>
      <w:r w:rsidRPr="004A1FC2">
        <w:rPr>
          <w:rFonts w:asciiTheme="majorHAnsi" w:hAnsiTheme="majorHAnsi"/>
          <w:sz w:val="16"/>
          <w:szCs w:val="16"/>
          <w:lang w:val="es-CO"/>
        </w:rPr>
        <w:t>. Convocatoria N°004-2002-CNM, emitida por el Consejo Nacional de la Magistratura, 19 de setiembre de 2002.Anexo a la petición inicial del peticionario Cuya Lavy de 30 de abril de 2003.</w:t>
      </w:r>
    </w:p>
  </w:footnote>
  <w:footnote w:id="16">
    <w:p w14:paraId="5D16194C" w14:textId="77777777" w:rsidR="00CD0E5C" w:rsidRPr="004A1FC2" w:rsidRDefault="00CD0E5C" w:rsidP="00161DCA">
      <w:pPr>
        <w:pStyle w:val="FootnoteText"/>
        <w:contextualSpacing/>
        <w:jc w:val="both"/>
        <w:rPr>
          <w:rFonts w:asciiTheme="majorHAnsi" w:hAnsiTheme="majorHAnsi"/>
          <w:sz w:val="16"/>
          <w:szCs w:val="16"/>
          <w:lang w:val="es-CO"/>
        </w:rPr>
      </w:pPr>
      <w:r w:rsidRPr="004A1FC2">
        <w:rPr>
          <w:rStyle w:val="FootnoteReference"/>
          <w:rFonts w:asciiTheme="majorHAnsi" w:hAnsiTheme="majorHAnsi"/>
          <w:sz w:val="16"/>
          <w:szCs w:val="16"/>
        </w:rPr>
        <w:footnoteRef/>
      </w:r>
      <w:r>
        <w:rPr>
          <w:rFonts w:asciiTheme="majorHAnsi" w:hAnsiTheme="majorHAnsi"/>
          <w:sz w:val="16"/>
          <w:szCs w:val="16"/>
          <w:lang w:val="es-CO"/>
        </w:rPr>
        <w:t xml:space="preserve"> </w:t>
      </w:r>
      <w:r w:rsidRPr="004A1FC2">
        <w:rPr>
          <w:rFonts w:asciiTheme="majorHAnsi" w:hAnsiTheme="majorHAnsi"/>
          <w:color w:val="auto"/>
          <w:sz w:val="16"/>
          <w:szCs w:val="16"/>
          <w:lang w:val="es-CO"/>
        </w:rPr>
        <w:t>Petición inicial del peticionario Cuya Lavy, 30 de abril de 2003.</w:t>
      </w:r>
    </w:p>
  </w:footnote>
  <w:footnote w:id="17">
    <w:p w14:paraId="33D5603C" w14:textId="77777777" w:rsidR="00CD0E5C" w:rsidRPr="007A560B" w:rsidRDefault="00CD0E5C" w:rsidP="00161DCA">
      <w:pPr>
        <w:pStyle w:val="FootnoteText"/>
        <w:contextualSpacing/>
        <w:jc w:val="both"/>
        <w:rPr>
          <w:rFonts w:asciiTheme="majorHAnsi" w:hAnsiTheme="majorHAnsi"/>
          <w:sz w:val="16"/>
          <w:szCs w:val="16"/>
          <w:lang w:val="es-VE"/>
        </w:rPr>
      </w:pPr>
      <w:r w:rsidRPr="004A1FC2">
        <w:rPr>
          <w:rStyle w:val="FootnoteReference"/>
          <w:rFonts w:asciiTheme="majorHAnsi" w:hAnsiTheme="majorHAnsi"/>
          <w:sz w:val="16"/>
          <w:szCs w:val="16"/>
        </w:rPr>
        <w:footnoteRef/>
      </w:r>
      <w:r w:rsidRPr="004A1FC2">
        <w:rPr>
          <w:rFonts w:asciiTheme="majorHAnsi" w:hAnsiTheme="majorHAnsi"/>
          <w:sz w:val="16"/>
          <w:szCs w:val="16"/>
          <w:lang w:val="es-VE"/>
        </w:rPr>
        <w:t xml:space="preserve"> </w:t>
      </w:r>
      <w:r>
        <w:rPr>
          <w:rFonts w:asciiTheme="majorHAnsi" w:hAnsiTheme="majorHAnsi"/>
          <w:sz w:val="16"/>
          <w:szCs w:val="16"/>
          <w:lang w:val="es-CO"/>
        </w:rPr>
        <w:t>Anexo 4</w:t>
      </w:r>
      <w:r w:rsidRPr="004A1FC2">
        <w:rPr>
          <w:rFonts w:asciiTheme="majorHAnsi" w:hAnsiTheme="majorHAnsi"/>
          <w:sz w:val="16"/>
          <w:szCs w:val="16"/>
          <w:lang w:val="es-CO"/>
        </w:rPr>
        <w:t>. Noticia “CNM revela que se consideró en evaluación la conducta personal”, Diario El Comercio, diciembre de 2002. Anexo</w:t>
      </w:r>
      <w:r w:rsidRPr="007A560B">
        <w:rPr>
          <w:rFonts w:asciiTheme="majorHAnsi" w:hAnsiTheme="majorHAnsi"/>
          <w:sz w:val="16"/>
          <w:szCs w:val="16"/>
          <w:lang w:val="es-CO"/>
        </w:rPr>
        <w:t xml:space="preserve"> a la petición inicial</w:t>
      </w:r>
      <w:r>
        <w:rPr>
          <w:rFonts w:asciiTheme="majorHAnsi" w:hAnsiTheme="majorHAnsi"/>
          <w:sz w:val="16"/>
          <w:szCs w:val="16"/>
          <w:lang w:val="es-CO"/>
        </w:rPr>
        <w:t xml:space="preserve"> del peticionario Cuya Lavy</w:t>
      </w:r>
      <w:r w:rsidRPr="007A560B">
        <w:rPr>
          <w:rFonts w:asciiTheme="majorHAnsi" w:hAnsiTheme="majorHAnsi"/>
          <w:sz w:val="16"/>
          <w:szCs w:val="16"/>
          <w:lang w:val="es-CO"/>
        </w:rPr>
        <w:t xml:space="preserve"> de 30 de abril de 2003.</w:t>
      </w:r>
    </w:p>
  </w:footnote>
  <w:footnote w:id="18">
    <w:p w14:paraId="1BD9BFA8"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5.</w:t>
      </w:r>
      <w:r w:rsidRPr="007E23E1">
        <w:rPr>
          <w:lang w:val="es-CO"/>
        </w:rPr>
        <w:t xml:space="preserve"> </w:t>
      </w:r>
      <w:r>
        <w:rPr>
          <w:rFonts w:asciiTheme="majorHAnsi" w:hAnsiTheme="majorHAnsi"/>
          <w:sz w:val="16"/>
          <w:szCs w:val="16"/>
          <w:lang w:val="es-CO"/>
        </w:rPr>
        <w:t>R</w:t>
      </w:r>
      <w:r w:rsidRPr="007E23E1">
        <w:rPr>
          <w:rFonts w:asciiTheme="majorHAnsi" w:hAnsiTheme="majorHAnsi"/>
          <w:sz w:val="16"/>
          <w:szCs w:val="16"/>
          <w:lang w:val="es-CO"/>
        </w:rPr>
        <w:t>esolución N°500-2002-CNM</w:t>
      </w:r>
      <w:r>
        <w:rPr>
          <w:rFonts w:asciiTheme="majorHAnsi" w:hAnsiTheme="majorHAnsi"/>
          <w:sz w:val="16"/>
          <w:szCs w:val="16"/>
          <w:lang w:val="es-CO"/>
        </w:rPr>
        <w:t>, emitida por el Consejo Nacional de la Magistratura, 20 de noviembre de 2002</w:t>
      </w:r>
      <w:r w:rsidRPr="007A560B">
        <w:rPr>
          <w:rFonts w:asciiTheme="majorHAnsi" w:hAnsiTheme="majorHAnsi"/>
          <w:sz w:val="16"/>
          <w:szCs w:val="16"/>
          <w:lang w:val="es-CO"/>
        </w:rPr>
        <w:t>.</w:t>
      </w:r>
      <w:r w:rsidRPr="007A560B">
        <w:rPr>
          <w:rFonts w:asciiTheme="majorHAnsi" w:hAnsiTheme="majorHAnsi"/>
          <w:color w:val="auto"/>
          <w:sz w:val="16"/>
          <w:szCs w:val="16"/>
          <w:lang w:val="es-CO"/>
        </w:rPr>
        <w:t xml:space="preserve"> </w:t>
      </w:r>
      <w:r>
        <w:rPr>
          <w:rFonts w:asciiTheme="majorHAnsi" w:hAnsiTheme="majorHAnsi"/>
          <w:color w:val="auto"/>
          <w:sz w:val="16"/>
          <w:szCs w:val="16"/>
          <w:lang w:val="es-CO"/>
        </w:rPr>
        <w:t>Anexo a la p</w:t>
      </w:r>
      <w:r w:rsidRPr="007A560B">
        <w:rPr>
          <w:rFonts w:asciiTheme="majorHAnsi" w:hAnsiTheme="majorHAnsi"/>
          <w:color w:val="auto"/>
          <w:sz w:val="16"/>
          <w:szCs w:val="16"/>
          <w:lang w:val="es-CO"/>
        </w:rPr>
        <w:t>etición ini</w:t>
      </w:r>
      <w:r>
        <w:rPr>
          <w:rFonts w:asciiTheme="majorHAnsi" w:hAnsiTheme="majorHAnsi"/>
          <w:color w:val="auto"/>
          <w:sz w:val="16"/>
          <w:szCs w:val="16"/>
          <w:lang w:val="es-CO"/>
        </w:rPr>
        <w:t>cial del peticionario Cuya Lavy de</w:t>
      </w:r>
      <w:r w:rsidRPr="007A560B">
        <w:rPr>
          <w:rFonts w:asciiTheme="majorHAnsi" w:hAnsiTheme="majorHAnsi"/>
          <w:color w:val="auto"/>
          <w:sz w:val="16"/>
          <w:szCs w:val="16"/>
          <w:lang w:val="es-CO"/>
        </w:rPr>
        <w:t xml:space="preserve"> 30 de abril de 2003.</w:t>
      </w:r>
    </w:p>
  </w:footnote>
  <w:footnote w:id="19">
    <w:p w14:paraId="0B9A4C0D"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5.</w:t>
      </w:r>
      <w:r w:rsidRPr="007E23E1">
        <w:rPr>
          <w:lang w:val="es-CO"/>
        </w:rPr>
        <w:t xml:space="preserve"> </w:t>
      </w:r>
      <w:r>
        <w:rPr>
          <w:rFonts w:asciiTheme="majorHAnsi" w:hAnsiTheme="majorHAnsi"/>
          <w:sz w:val="16"/>
          <w:szCs w:val="16"/>
          <w:lang w:val="es-CO"/>
        </w:rPr>
        <w:t>R</w:t>
      </w:r>
      <w:r w:rsidRPr="007E23E1">
        <w:rPr>
          <w:rFonts w:asciiTheme="majorHAnsi" w:hAnsiTheme="majorHAnsi"/>
          <w:sz w:val="16"/>
          <w:szCs w:val="16"/>
          <w:lang w:val="es-CO"/>
        </w:rPr>
        <w:t>esolución N°500-2002-CNM</w:t>
      </w:r>
      <w:r>
        <w:rPr>
          <w:rFonts w:asciiTheme="majorHAnsi" w:hAnsiTheme="majorHAnsi"/>
          <w:sz w:val="16"/>
          <w:szCs w:val="16"/>
          <w:lang w:val="es-CO"/>
        </w:rPr>
        <w:t>, emitida por el Consejo Nacional de la Magistratura, 20 de noviembre de 2002</w:t>
      </w:r>
      <w:r w:rsidRPr="007A560B">
        <w:rPr>
          <w:rFonts w:asciiTheme="majorHAnsi" w:hAnsiTheme="majorHAnsi"/>
          <w:sz w:val="16"/>
          <w:szCs w:val="16"/>
          <w:lang w:val="es-CO"/>
        </w:rPr>
        <w:t>.</w:t>
      </w:r>
      <w:r w:rsidRPr="007A560B">
        <w:rPr>
          <w:rFonts w:asciiTheme="majorHAnsi" w:hAnsiTheme="majorHAnsi"/>
          <w:color w:val="auto"/>
          <w:sz w:val="16"/>
          <w:szCs w:val="16"/>
          <w:lang w:val="es-CO"/>
        </w:rPr>
        <w:t xml:space="preserve"> </w:t>
      </w:r>
      <w:r>
        <w:rPr>
          <w:rFonts w:asciiTheme="majorHAnsi" w:hAnsiTheme="majorHAnsi"/>
          <w:color w:val="auto"/>
          <w:sz w:val="16"/>
          <w:szCs w:val="16"/>
          <w:lang w:val="es-CO"/>
        </w:rPr>
        <w:t>Anexo a la p</w:t>
      </w:r>
      <w:r w:rsidRPr="007A560B">
        <w:rPr>
          <w:rFonts w:asciiTheme="majorHAnsi" w:hAnsiTheme="majorHAnsi"/>
          <w:color w:val="auto"/>
          <w:sz w:val="16"/>
          <w:szCs w:val="16"/>
          <w:lang w:val="es-CO"/>
        </w:rPr>
        <w:t>etición ini</w:t>
      </w:r>
      <w:r>
        <w:rPr>
          <w:rFonts w:asciiTheme="majorHAnsi" w:hAnsiTheme="majorHAnsi"/>
          <w:color w:val="auto"/>
          <w:sz w:val="16"/>
          <w:szCs w:val="16"/>
          <w:lang w:val="es-CO"/>
        </w:rPr>
        <w:t>cial del peticionario Cuya Lavy de</w:t>
      </w:r>
      <w:r w:rsidRPr="007A560B">
        <w:rPr>
          <w:rFonts w:asciiTheme="majorHAnsi" w:hAnsiTheme="majorHAnsi"/>
          <w:color w:val="auto"/>
          <w:sz w:val="16"/>
          <w:szCs w:val="16"/>
          <w:lang w:val="es-CO"/>
        </w:rPr>
        <w:t xml:space="preserve"> 30 de abril de 2003.</w:t>
      </w:r>
    </w:p>
  </w:footnote>
  <w:footnote w:id="20">
    <w:p w14:paraId="39645528"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color w:val="auto"/>
          <w:sz w:val="16"/>
          <w:szCs w:val="16"/>
          <w:lang w:val="es-CO"/>
        </w:rPr>
        <w:t xml:space="preserve">Anexo 6. Sentencia </w:t>
      </w:r>
      <w:r w:rsidRPr="007A560B">
        <w:rPr>
          <w:rFonts w:asciiTheme="majorHAnsi" w:hAnsiTheme="majorHAnsi"/>
          <w:color w:val="auto"/>
          <w:sz w:val="16"/>
          <w:szCs w:val="16"/>
          <w:lang w:val="es-CO"/>
        </w:rPr>
        <w:t>de</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l</w:t>
      </w:r>
      <w:r>
        <w:rPr>
          <w:rFonts w:asciiTheme="majorHAnsi" w:hAnsiTheme="majorHAnsi"/>
          <w:color w:val="auto"/>
          <w:sz w:val="16"/>
          <w:szCs w:val="16"/>
          <w:lang w:val="es-CO"/>
        </w:rPr>
        <w:t>a Sala Segunda del</w:t>
      </w:r>
      <w:r w:rsidRPr="007A560B">
        <w:rPr>
          <w:rFonts w:asciiTheme="majorHAnsi" w:hAnsiTheme="majorHAnsi"/>
          <w:color w:val="auto"/>
          <w:sz w:val="16"/>
          <w:szCs w:val="16"/>
          <w:lang w:val="es-CO"/>
        </w:rPr>
        <w:t xml:space="preserve"> Tribunal Constitucional emitida dentro del expediente N°1525-2003-AA/TC, 15 de julio de 2003. Anexo al escrito del peticionario Cuya Lavy de 21 de octubre de 2013.</w:t>
      </w:r>
    </w:p>
  </w:footnote>
  <w:footnote w:id="21">
    <w:p w14:paraId="5923AF7B" w14:textId="77777777" w:rsidR="00CD0E5C" w:rsidRPr="007A560B" w:rsidRDefault="00CD0E5C" w:rsidP="00161DCA">
      <w:pPr>
        <w:pStyle w:val="FootnoteText"/>
        <w:contextualSpacing/>
        <w:jc w:val="both"/>
        <w:rPr>
          <w:rFonts w:asciiTheme="majorHAnsi" w:hAnsiTheme="majorHAnsi"/>
          <w:color w:val="auto"/>
          <w:sz w:val="16"/>
          <w:szCs w:val="16"/>
          <w:vertAlign w:val="superscript"/>
          <w:lang w:val="es-CO"/>
        </w:rPr>
      </w:pPr>
      <w:r w:rsidRPr="007A560B">
        <w:rPr>
          <w:rFonts w:asciiTheme="majorHAnsi" w:hAnsiTheme="majorHAnsi"/>
          <w:color w:val="auto"/>
          <w:sz w:val="16"/>
          <w:szCs w:val="16"/>
          <w:vertAlign w:val="superscript"/>
          <w:lang w:val="es-CO"/>
        </w:rPr>
        <w:footnoteRef/>
      </w:r>
      <w:r w:rsidRPr="007A560B">
        <w:rPr>
          <w:rFonts w:asciiTheme="majorHAnsi" w:hAnsiTheme="majorHAnsi"/>
          <w:color w:val="auto"/>
          <w:sz w:val="16"/>
          <w:szCs w:val="16"/>
          <w:vertAlign w:val="superscript"/>
          <w:lang w:val="es-CO"/>
        </w:rPr>
        <w:t xml:space="preserve"> </w:t>
      </w:r>
      <w:r>
        <w:rPr>
          <w:rFonts w:asciiTheme="majorHAnsi" w:hAnsiTheme="majorHAnsi"/>
          <w:color w:val="auto"/>
          <w:sz w:val="16"/>
          <w:szCs w:val="16"/>
          <w:lang w:val="es-CO"/>
        </w:rPr>
        <w:t>Anexo 6</w:t>
      </w:r>
      <w:r w:rsidRPr="007A560B">
        <w:rPr>
          <w:rFonts w:asciiTheme="majorHAnsi" w:hAnsiTheme="majorHAnsi"/>
          <w:color w:val="auto"/>
          <w:sz w:val="16"/>
          <w:szCs w:val="16"/>
          <w:lang w:val="es-CO"/>
        </w:rPr>
        <w:t xml:space="preserve"> Sentencia de</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l</w:t>
      </w:r>
      <w:r>
        <w:rPr>
          <w:rFonts w:asciiTheme="majorHAnsi" w:hAnsiTheme="majorHAnsi"/>
          <w:color w:val="auto"/>
          <w:sz w:val="16"/>
          <w:szCs w:val="16"/>
          <w:lang w:val="es-CO"/>
        </w:rPr>
        <w:t>a Sala Segunda del</w:t>
      </w:r>
      <w:r w:rsidRPr="007A560B">
        <w:rPr>
          <w:rFonts w:asciiTheme="majorHAnsi" w:hAnsiTheme="majorHAnsi"/>
          <w:color w:val="auto"/>
          <w:sz w:val="16"/>
          <w:szCs w:val="16"/>
          <w:lang w:val="es-CO"/>
        </w:rPr>
        <w:t xml:space="preserve"> Tribunal Constitucional emitida dentro del expediente N°1525-2003-AA/TC, 15 de julio de 2003. Anexo al escrito del peticionario Cuya Lavy de 21 de octubre de 2013.</w:t>
      </w:r>
    </w:p>
  </w:footnote>
  <w:footnote w:id="22">
    <w:p w14:paraId="490FD441"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6</w:t>
      </w:r>
      <w:r w:rsidRPr="007A560B">
        <w:rPr>
          <w:rFonts w:asciiTheme="majorHAnsi" w:hAnsiTheme="majorHAnsi"/>
          <w:color w:val="auto"/>
          <w:sz w:val="16"/>
          <w:szCs w:val="16"/>
          <w:lang w:val="es-CO"/>
        </w:rPr>
        <w:t>. Sentencia de</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l</w:t>
      </w:r>
      <w:r>
        <w:rPr>
          <w:rFonts w:asciiTheme="majorHAnsi" w:hAnsiTheme="majorHAnsi"/>
          <w:color w:val="auto"/>
          <w:sz w:val="16"/>
          <w:szCs w:val="16"/>
          <w:lang w:val="es-CO"/>
        </w:rPr>
        <w:t>a Sala Segunda del</w:t>
      </w:r>
      <w:r w:rsidRPr="007A560B">
        <w:rPr>
          <w:rFonts w:asciiTheme="majorHAnsi" w:hAnsiTheme="majorHAnsi"/>
          <w:color w:val="auto"/>
          <w:sz w:val="16"/>
          <w:szCs w:val="16"/>
          <w:lang w:val="es-CO"/>
        </w:rPr>
        <w:t xml:space="preserve"> Tribunal Constitucional emitida dentro del expediente N°1525-2003-AA/TC, 15 de julio de 2003. Anexo al escrito del peticionario Cuya Lavy de 21 de octubre de 2013.</w:t>
      </w:r>
    </w:p>
  </w:footnote>
  <w:footnote w:id="23">
    <w:p w14:paraId="7F4EA1E5"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6</w:t>
      </w:r>
      <w:r w:rsidRPr="007A560B">
        <w:rPr>
          <w:rFonts w:asciiTheme="majorHAnsi" w:hAnsiTheme="majorHAnsi"/>
          <w:color w:val="auto"/>
          <w:sz w:val="16"/>
          <w:szCs w:val="16"/>
          <w:lang w:val="es-CO"/>
        </w:rPr>
        <w:t>. Sentencia de</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l</w:t>
      </w:r>
      <w:r>
        <w:rPr>
          <w:rFonts w:asciiTheme="majorHAnsi" w:hAnsiTheme="majorHAnsi"/>
          <w:color w:val="auto"/>
          <w:sz w:val="16"/>
          <w:szCs w:val="16"/>
          <w:lang w:val="es-CO"/>
        </w:rPr>
        <w:t>a Sala Segunda del</w:t>
      </w:r>
      <w:r w:rsidRPr="007A560B">
        <w:rPr>
          <w:rFonts w:asciiTheme="majorHAnsi" w:hAnsiTheme="majorHAnsi"/>
          <w:color w:val="auto"/>
          <w:sz w:val="16"/>
          <w:szCs w:val="16"/>
          <w:lang w:val="es-CO"/>
        </w:rPr>
        <w:t xml:space="preserve"> Tribunal Constitucional emitida dentro del expediente N°1525-2003-AA/TC, 15 de julio de 2003. Anexo al escrito del peticionario Cuya Lavy de 21 de octubre de 2013.</w:t>
      </w:r>
    </w:p>
  </w:footnote>
  <w:footnote w:id="24">
    <w:p w14:paraId="06A5B7B2"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Pr>
          <w:rFonts w:asciiTheme="majorHAnsi" w:hAnsiTheme="majorHAnsi"/>
          <w:sz w:val="16"/>
          <w:szCs w:val="16"/>
          <w:lang w:val="es-CO"/>
        </w:rPr>
        <w:t xml:space="preserve"> Anexo 7</w:t>
      </w:r>
      <w:r w:rsidRPr="007A560B">
        <w:rPr>
          <w:rFonts w:asciiTheme="majorHAnsi" w:hAnsiTheme="majorHAnsi"/>
          <w:sz w:val="16"/>
          <w:szCs w:val="16"/>
          <w:lang w:val="es-CO"/>
        </w:rPr>
        <w:t xml:space="preserve">. Título de nombramiento como Juez del Tercer Juzgado de Paz Letrado de los Distritos de Surco y Surquillo emitido por el </w:t>
      </w:r>
      <w:r>
        <w:rPr>
          <w:rFonts w:asciiTheme="majorHAnsi" w:hAnsiTheme="majorHAnsi"/>
          <w:sz w:val="16"/>
          <w:szCs w:val="16"/>
          <w:lang w:val="es-CO"/>
        </w:rPr>
        <w:br/>
        <w:t xml:space="preserve">Presidente de la República, </w:t>
      </w:r>
      <w:r w:rsidRPr="007A560B">
        <w:rPr>
          <w:rFonts w:asciiTheme="majorHAnsi" w:hAnsiTheme="majorHAnsi"/>
          <w:sz w:val="16"/>
          <w:szCs w:val="16"/>
          <w:lang w:val="es-CO"/>
        </w:rPr>
        <w:t xml:space="preserve">11 de diciembre de 1984. Anexo al escrito del peticionario Valenzuela Cerna de 14 de enero de 2008. </w:t>
      </w:r>
    </w:p>
  </w:footnote>
  <w:footnote w:id="25">
    <w:p w14:paraId="1E84D18D"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Pr>
          <w:rFonts w:asciiTheme="majorHAnsi" w:hAnsiTheme="majorHAnsi"/>
          <w:sz w:val="16"/>
          <w:szCs w:val="16"/>
          <w:lang w:val="es-CO"/>
        </w:rPr>
        <w:t xml:space="preserve"> Anexo 8</w:t>
      </w:r>
      <w:r w:rsidRPr="007A560B">
        <w:rPr>
          <w:rFonts w:asciiTheme="majorHAnsi" w:hAnsiTheme="majorHAnsi"/>
          <w:sz w:val="16"/>
          <w:szCs w:val="16"/>
          <w:lang w:val="es-CO"/>
        </w:rPr>
        <w:t>. Título de nombramiento como Juez Especializado en lo Civil del Distrito de Lima emitido por el Jur</w:t>
      </w:r>
      <w:r>
        <w:rPr>
          <w:rFonts w:asciiTheme="majorHAnsi" w:hAnsiTheme="majorHAnsi"/>
          <w:sz w:val="16"/>
          <w:szCs w:val="16"/>
          <w:lang w:val="es-CO"/>
        </w:rPr>
        <w:t xml:space="preserve">ado de Honor de la Magistratura, </w:t>
      </w:r>
      <w:r w:rsidRPr="007A560B">
        <w:rPr>
          <w:rFonts w:asciiTheme="majorHAnsi" w:hAnsiTheme="majorHAnsi"/>
          <w:sz w:val="16"/>
          <w:szCs w:val="16"/>
          <w:lang w:val="es-CO"/>
        </w:rPr>
        <w:t>10 de octubre de 1994. Anexo a escrito del peticionario Valenzuela Cerna de 14 de enero de 2008.</w:t>
      </w:r>
    </w:p>
  </w:footnote>
  <w:footnote w:id="26">
    <w:p w14:paraId="6867D64D"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9</w:t>
      </w:r>
      <w:r w:rsidRPr="007A560B">
        <w:rPr>
          <w:rFonts w:asciiTheme="majorHAnsi" w:hAnsiTheme="majorHAnsi"/>
          <w:sz w:val="16"/>
          <w:szCs w:val="16"/>
          <w:lang w:val="es-CO"/>
        </w:rPr>
        <w:t>. Convocatoria N°002-2002-CNM, emitida por el Consejo Nacional de la Magistratura, 1 de junio de 2002. Anexo al escrito del peticionario Valenzuela Cerna de 14 de enero de 2008.</w:t>
      </w:r>
    </w:p>
  </w:footnote>
  <w:footnote w:id="27">
    <w:p w14:paraId="72953E22"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9</w:t>
      </w:r>
      <w:r w:rsidRPr="007A560B">
        <w:rPr>
          <w:rFonts w:asciiTheme="majorHAnsi" w:hAnsiTheme="majorHAnsi"/>
          <w:sz w:val="16"/>
          <w:szCs w:val="16"/>
          <w:lang w:val="es-CO"/>
        </w:rPr>
        <w:t>. Convocatoria N°002-2002-CNM, emitida por el Consejo Nacional de la Magistratura, 1 de junio de 2002. Anexo al escrito del peticionario Valenzuela Cerna de 14 de enero de 2008.</w:t>
      </w:r>
    </w:p>
  </w:footnote>
  <w:footnote w:id="28">
    <w:p w14:paraId="627D8959"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10</w:t>
      </w:r>
      <w:r w:rsidRPr="007A560B">
        <w:rPr>
          <w:rFonts w:asciiTheme="majorHAnsi" w:hAnsiTheme="majorHAnsi"/>
          <w:sz w:val="16"/>
          <w:szCs w:val="16"/>
          <w:lang w:val="es-CO"/>
        </w:rPr>
        <w:t>. Demanda de amparo constitucional presentada por el peticionario Valenzuela Cerna, 20 de junio de 2002. Anexo al escrito del peticionario Valenzuela Cerna de 14 de enero de 2008.</w:t>
      </w:r>
    </w:p>
  </w:footnote>
  <w:footnote w:id="29">
    <w:p w14:paraId="050B03DC"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11</w:t>
      </w:r>
      <w:r w:rsidRPr="007A560B">
        <w:rPr>
          <w:rFonts w:asciiTheme="majorHAnsi" w:hAnsiTheme="majorHAnsi"/>
          <w:sz w:val="16"/>
          <w:szCs w:val="16"/>
          <w:lang w:val="es-CO"/>
        </w:rPr>
        <w:t>.</w:t>
      </w:r>
      <w:r w:rsidRPr="007A560B">
        <w:rPr>
          <w:rFonts w:asciiTheme="majorHAnsi" w:hAnsiTheme="majorHAnsi"/>
          <w:color w:val="auto"/>
          <w:sz w:val="16"/>
          <w:szCs w:val="16"/>
          <w:lang w:val="es-CO"/>
        </w:rPr>
        <w:t xml:space="preserve"> Escrito de manifestación de agravios dentro del recurso de apelación presentado por el peticionario Valenzuela Cerna, 26 de noviembre de 2002. </w:t>
      </w:r>
      <w:r w:rsidRPr="007A560B">
        <w:rPr>
          <w:rFonts w:asciiTheme="majorHAnsi" w:hAnsiTheme="majorHAnsi"/>
          <w:sz w:val="16"/>
          <w:szCs w:val="16"/>
          <w:lang w:val="es-CO"/>
        </w:rPr>
        <w:t>Anexo al escrito del peticionario Valenzuela Cerna de 14 de enero de 2008.</w:t>
      </w:r>
    </w:p>
  </w:footnote>
  <w:footnote w:id="30">
    <w:p w14:paraId="129FD150" w14:textId="77777777" w:rsidR="00CD0E5C" w:rsidRPr="007A560B" w:rsidRDefault="00CD0E5C" w:rsidP="00161DCA">
      <w:pPr>
        <w:pStyle w:val="FootnoteText"/>
        <w:contextualSpacing/>
        <w:jc w:val="both"/>
        <w:rPr>
          <w:rFonts w:asciiTheme="majorHAnsi" w:hAnsiTheme="majorHAnsi"/>
          <w:color w:val="auto"/>
          <w:sz w:val="16"/>
          <w:szCs w:val="16"/>
          <w:vertAlign w:val="superscript"/>
          <w:lang w:val="es-CO"/>
        </w:rPr>
      </w:pPr>
      <w:r w:rsidRPr="007A560B">
        <w:rPr>
          <w:rFonts w:asciiTheme="majorHAnsi" w:hAnsiTheme="majorHAnsi"/>
          <w:color w:val="auto"/>
          <w:sz w:val="16"/>
          <w:szCs w:val="16"/>
          <w:vertAlign w:val="superscript"/>
          <w:lang w:val="es-CO"/>
        </w:rPr>
        <w:footnoteRef/>
      </w:r>
      <w:r w:rsidRPr="007A560B">
        <w:rPr>
          <w:rFonts w:asciiTheme="majorHAnsi" w:hAnsiTheme="majorHAnsi"/>
          <w:color w:val="auto"/>
          <w:sz w:val="16"/>
          <w:szCs w:val="16"/>
          <w:vertAlign w:val="superscript"/>
          <w:lang w:val="es-CO"/>
        </w:rPr>
        <w:t xml:space="preserve"> </w:t>
      </w:r>
      <w:r>
        <w:rPr>
          <w:rFonts w:asciiTheme="majorHAnsi" w:hAnsiTheme="majorHAnsi"/>
          <w:color w:val="auto"/>
          <w:sz w:val="16"/>
          <w:szCs w:val="16"/>
          <w:lang w:val="es-CO"/>
        </w:rPr>
        <w:t>Anexo 12</w:t>
      </w:r>
      <w:r w:rsidRPr="007A560B">
        <w:rPr>
          <w:rFonts w:asciiTheme="majorHAnsi" w:hAnsiTheme="majorHAnsi"/>
          <w:color w:val="auto"/>
          <w:sz w:val="16"/>
          <w:szCs w:val="16"/>
          <w:lang w:val="es-CO"/>
        </w:rPr>
        <w:t xml:space="preserve">. Sentencia del Quincuagésimo Juzgado Civil de Lima, emitida dentro del expediente 2002-26316-0-100-J-CI-50°, 12 de septiembre de 2002. </w:t>
      </w:r>
      <w:r w:rsidRPr="007A560B">
        <w:rPr>
          <w:rFonts w:asciiTheme="majorHAnsi" w:hAnsiTheme="majorHAnsi"/>
          <w:sz w:val="16"/>
          <w:szCs w:val="16"/>
          <w:lang w:val="es-CO"/>
        </w:rPr>
        <w:t>Anexo al escrito del peticionario Valenzuela Cerna de 14 de enero de 2008.</w:t>
      </w:r>
    </w:p>
  </w:footnote>
  <w:footnote w:id="31">
    <w:p w14:paraId="182D9AFE"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13</w:t>
      </w:r>
      <w:r w:rsidRPr="007A560B">
        <w:rPr>
          <w:rFonts w:asciiTheme="majorHAnsi" w:hAnsiTheme="majorHAnsi"/>
          <w:color w:val="auto"/>
          <w:sz w:val="16"/>
          <w:szCs w:val="16"/>
          <w:lang w:val="es-CO"/>
        </w:rPr>
        <w:t xml:space="preserve">. Recurso de apelación presentado por el peticionario Valenzuela Cerna, 24 de septiembre de 2002. </w:t>
      </w:r>
      <w:r w:rsidRPr="007A560B">
        <w:rPr>
          <w:rFonts w:asciiTheme="majorHAnsi" w:hAnsiTheme="majorHAnsi"/>
          <w:sz w:val="16"/>
          <w:szCs w:val="16"/>
          <w:lang w:val="es-CO"/>
        </w:rPr>
        <w:t>Anexo al escrito del peticionario Valenzuela Cerna de 14 de enero de 2008.</w:t>
      </w:r>
    </w:p>
  </w:footnote>
  <w:footnote w:id="32">
    <w:p w14:paraId="289FCD34"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14</w:t>
      </w:r>
      <w:r w:rsidRPr="007A560B">
        <w:rPr>
          <w:rFonts w:asciiTheme="majorHAnsi" w:hAnsiTheme="majorHAnsi"/>
          <w:color w:val="auto"/>
          <w:sz w:val="16"/>
          <w:szCs w:val="16"/>
          <w:lang w:val="es-CO"/>
        </w:rPr>
        <w:t>. Sentencia</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de</w:t>
      </w:r>
      <w:r w:rsidRPr="007A560B">
        <w:rPr>
          <w:rFonts w:asciiTheme="majorHAnsi" w:hAnsiTheme="majorHAnsi"/>
          <w:sz w:val="16"/>
          <w:szCs w:val="16"/>
          <w:lang w:val="es-CO"/>
        </w:rPr>
        <w:t xml:space="preserve"> la Quinta Sala Civil de la Corte Superior de Justicia de Lima</w:t>
      </w:r>
      <w:r w:rsidRPr="007A560B">
        <w:rPr>
          <w:rFonts w:asciiTheme="majorHAnsi" w:hAnsiTheme="majorHAnsi"/>
          <w:color w:val="auto"/>
          <w:sz w:val="16"/>
          <w:szCs w:val="16"/>
          <w:lang w:val="es-CO"/>
        </w:rPr>
        <w:t xml:space="preserve"> emitida dentro del expediente N°2857-2002, 23 de mayo de 2003. </w:t>
      </w:r>
      <w:r w:rsidRPr="007A560B">
        <w:rPr>
          <w:rFonts w:asciiTheme="majorHAnsi" w:hAnsiTheme="majorHAnsi"/>
          <w:sz w:val="16"/>
          <w:szCs w:val="16"/>
          <w:lang w:val="es-CO"/>
        </w:rPr>
        <w:t>Anexo al escrito del peticionario Valenzuela Cerna de 14 de enero de 2008.</w:t>
      </w:r>
    </w:p>
  </w:footnote>
  <w:footnote w:id="33">
    <w:p w14:paraId="15900FF2"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15</w:t>
      </w:r>
      <w:r w:rsidRPr="007A560B">
        <w:rPr>
          <w:rFonts w:asciiTheme="majorHAnsi" w:hAnsiTheme="majorHAnsi"/>
          <w:color w:val="auto"/>
          <w:sz w:val="16"/>
          <w:szCs w:val="16"/>
          <w:lang w:val="es-CO"/>
        </w:rPr>
        <w:t xml:space="preserve">. Recurso extraordinario presentado por el peticionario Valenzuela Cerna, 16 de julio de 2003. </w:t>
      </w:r>
      <w:r w:rsidRPr="007A560B">
        <w:rPr>
          <w:rFonts w:asciiTheme="majorHAnsi" w:hAnsiTheme="majorHAnsi"/>
          <w:sz w:val="16"/>
          <w:szCs w:val="16"/>
          <w:lang w:val="es-CO"/>
        </w:rPr>
        <w:t>Anexo al escrito del peticionario Valenzuela Cerna de 14 de enero de 2008.</w:t>
      </w:r>
    </w:p>
  </w:footnote>
  <w:footnote w:id="34">
    <w:p w14:paraId="52C07867"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16. Sentencia de la Sala Segunda</w:t>
      </w:r>
      <w:r w:rsidRPr="007A560B">
        <w:rPr>
          <w:rFonts w:asciiTheme="majorHAnsi" w:hAnsiTheme="majorHAnsi"/>
          <w:color w:val="auto"/>
          <w:sz w:val="16"/>
          <w:szCs w:val="16"/>
          <w:lang w:val="es-CO"/>
        </w:rPr>
        <w:t xml:space="preserve"> del Tribunal Constitucional emitida dentro del expediente N°1892-2003-AA/TC, 9 de enero de 2004. </w:t>
      </w:r>
      <w:r w:rsidRPr="007A560B">
        <w:rPr>
          <w:rFonts w:asciiTheme="majorHAnsi" w:hAnsiTheme="majorHAnsi"/>
          <w:sz w:val="16"/>
          <w:szCs w:val="16"/>
          <w:lang w:val="es-CO"/>
        </w:rPr>
        <w:t>Anexo al escrito del peticionario Valenzuela Cerna de 14 de enero de 2008.</w:t>
      </w:r>
    </w:p>
  </w:footnote>
  <w:footnote w:id="35">
    <w:p w14:paraId="3CD7D7D1" w14:textId="77777777" w:rsidR="00CD0E5C" w:rsidRPr="007A560B" w:rsidRDefault="00CD0E5C" w:rsidP="00161DCA">
      <w:pPr>
        <w:pStyle w:val="FootnoteText"/>
        <w:contextualSpacing/>
        <w:jc w:val="both"/>
        <w:rPr>
          <w:rFonts w:asciiTheme="majorHAnsi" w:hAnsiTheme="majorHAnsi"/>
          <w:color w:val="auto"/>
          <w:sz w:val="16"/>
          <w:szCs w:val="16"/>
          <w:vertAlign w:val="superscript"/>
          <w:lang w:val="es-CO"/>
        </w:rPr>
      </w:pPr>
      <w:r w:rsidRPr="007A560B">
        <w:rPr>
          <w:rFonts w:asciiTheme="majorHAnsi" w:hAnsiTheme="majorHAnsi"/>
          <w:color w:val="auto"/>
          <w:sz w:val="16"/>
          <w:szCs w:val="16"/>
          <w:vertAlign w:val="superscript"/>
          <w:lang w:val="es-CO"/>
        </w:rPr>
        <w:footnoteRef/>
      </w:r>
      <w:r w:rsidRPr="007A560B">
        <w:rPr>
          <w:rFonts w:asciiTheme="majorHAnsi" w:hAnsiTheme="majorHAnsi"/>
          <w:color w:val="auto"/>
          <w:sz w:val="16"/>
          <w:szCs w:val="16"/>
          <w:vertAlign w:val="superscript"/>
          <w:lang w:val="es-CO"/>
        </w:rPr>
        <w:t xml:space="preserve"> </w:t>
      </w:r>
      <w:r>
        <w:rPr>
          <w:rFonts w:asciiTheme="majorHAnsi" w:hAnsiTheme="majorHAnsi"/>
          <w:color w:val="auto"/>
          <w:sz w:val="16"/>
          <w:szCs w:val="16"/>
          <w:lang w:val="es-CO"/>
        </w:rPr>
        <w:t>Anexo 16</w:t>
      </w:r>
      <w:r w:rsidRPr="007A560B">
        <w:rPr>
          <w:rFonts w:asciiTheme="majorHAnsi" w:hAnsiTheme="majorHAnsi"/>
          <w:color w:val="auto"/>
          <w:sz w:val="16"/>
          <w:szCs w:val="16"/>
          <w:lang w:val="es-CO"/>
        </w:rPr>
        <w:t xml:space="preserve">. Sentencia </w:t>
      </w:r>
      <w:r>
        <w:rPr>
          <w:rFonts w:asciiTheme="majorHAnsi" w:hAnsiTheme="majorHAnsi"/>
          <w:color w:val="auto"/>
          <w:sz w:val="16"/>
          <w:szCs w:val="16"/>
          <w:lang w:val="es-CO"/>
        </w:rPr>
        <w:t>de la Sala Segunda</w:t>
      </w:r>
      <w:r w:rsidRPr="007A560B">
        <w:rPr>
          <w:rFonts w:asciiTheme="majorHAnsi" w:hAnsiTheme="majorHAnsi"/>
          <w:color w:val="auto"/>
          <w:sz w:val="16"/>
          <w:szCs w:val="16"/>
          <w:lang w:val="es-CO"/>
        </w:rPr>
        <w:t xml:space="preserve"> del Tribunal Constitucional emitida dentro del expediente N°1892-2003-AA/TC, 9 de enero de 2004. </w:t>
      </w:r>
      <w:r w:rsidRPr="007A560B">
        <w:rPr>
          <w:rFonts w:asciiTheme="majorHAnsi" w:hAnsiTheme="majorHAnsi"/>
          <w:sz w:val="16"/>
          <w:szCs w:val="16"/>
          <w:lang w:val="es-CO"/>
        </w:rPr>
        <w:t>Anexo al escrito del peticionario Valenzuela Cerna de 14 de enero de 2008.</w:t>
      </w:r>
    </w:p>
  </w:footnote>
  <w:footnote w:id="36">
    <w:p w14:paraId="3F7F42F2"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Anexo </w:t>
      </w:r>
      <w:r>
        <w:rPr>
          <w:rFonts w:asciiTheme="majorHAnsi" w:hAnsiTheme="majorHAnsi"/>
          <w:color w:val="auto"/>
          <w:sz w:val="16"/>
          <w:szCs w:val="16"/>
          <w:lang w:val="es-CO"/>
        </w:rPr>
        <w:t>17</w:t>
      </w:r>
      <w:r w:rsidRPr="007A560B">
        <w:rPr>
          <w:rFonts w:asciiTheme="majorHAnsi" w:hAnsiTheme="majorHAnsi"/>
          <w:color w:val="auto"/>
          <w:sz w:val="16"/>
          <w:szCs w:val="16"/>
          <w:lang w:val="es-CO"/>
        </w:rPr>
        <w:t xml:space="preserve">. Recurso de nulidad presentado por el peticionario Valenzuela Cerna, 30 de marzo de 2004. </w:t>
      </w:r>
      <w:r w:rsidRPr="007A560B">
        <w:rPr>
          <w:rFonts w:asciiTheme="majorHAnsi" w:hAnsiTheme="majorHAnsi"/>
          <w:sz w:val="16"/>
          <w:szCs w:val="16"/>
          <w:lang w:val="es-CO"/>
        </w:rPr>
        <w:t>Anexo al escrito del peticionario Valenzuela Cerna de 14 de enero de 2008.</w:t>
      </w:r>
    </w:p>
  </w:footnote>
  <w:footnote w:id="37">
    <w:p w14:paraId="10380579"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18. Resolución</w:t>
      </w:r>
      <w:r w:rsidRPr="007A560B">
        <w:rPr>
          <w:rFonts w:asciiTheme="majorHAnsi" w:hAnsiTheme="majorHAnsi"/>
          <w:color w:val="auto"/>
          <w:sz w:val="16"/>
          <w:szCs w:val="16"/>
          <w:lang w:val="es-CO"/>
        </w:rPr>
        <w:t xml:space="preserve"> del Tribunal Constitucional emitida dentro del expediente N°1892-2003-AA/TC, 14 de mayo de 2004. </w:t>
      </w:r>
      <w:r w:rsidRPr="007A560B">
        <w:rPr>
          <w:rFonts w:asciiTheme="majorHAnsi" w:hAnsiTheme="majorHAnsi"/>
          <w:sz w:val="16"/>
          <w:szCs w:val="16"/>
          <w:lang w:val="es-CO"/>
        </w:rPr>
        <w:t>Anexo al escrito del peticionario Valenzuela Cerna de 14 de enero de 2008.</w:t>
      </w:r>
    </w:p>
  </w:footnote>
  <w:footnote w:id="38">
    <w:p w14:paraId="5036B857"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Pr>
          <w:rFonts w:asciiTheme="majorHAnsi" w:hAnsiTheme="majorHAnsi"/>
          <w:sz w:val="16"/>
          <w:szCs w:val="16"/>
          <w:lang w:val="es-CO"/>
        </w:rPr>
        <w:t xml:space="preserve"> Anexo 19</w:t>
      </w:r>
      <w:r w:rsidRPr="007A560B">
        <w:rPr>
          <w:rFonts w:asciiTheme="majorHAnsi" w:hAnsiTheme="majorHAnsi"/>
          <w:sz w:val="16"/>
          <w:szCs w:val="16"/>
          <w:lang w:val="es-CO"/>
        </w:rPr>
        <w:t>. Título de nombramiento como Fiscal Provincial Adjunto a la Fiscalía Provincial Mixta de Huancayo del Distrito Judicial de Junín emitido por e</w:t>
      </w:r>
      <w:r>
        <w:rPr>
          <w:rFonts w:asciiTheme="majorHAnsi" w:hAnsiTheme="majorHAnsi"/>
          <w:sz w:val="16"/>
          <w:szCs w:val="16"/>
          <w:lang w:val="es-CO"/>
        </w:rPr>
        <w:t>l Presidente de la República,</w:t>
      </w:r>
      <w:r w:rsidRPr="007A560B">
        <w:rPr>
          <w:rFonts w:asciiTheme="majorHAnsi" w:hAnsiTheme="majorHAnsi"/>
          <w:sz w:val="16"/>
          <w:szCs w:val="16"/>
          <w:lang w:val="es-CO"/>
        </w:rPr>
        <w:t xml:space="preserve"> 24 de mayo de 1989. Anexo a</w:t>
      </w:r>
      <w:r w:rsidRPr="007A560B">
        <w:rPr>
          <w:rFonts w:asciiTheme="majorHAnsi" w:hAnsiTheme="majorHAnsi"/>
          <w:color w:val="auto"/>
          <w:sz w:val="16"/>
          <w:szCs w:val="16"/>
          <w:lang w:val="es-CO"/>
        </w:rPr>
        <w:t xml:space="preserve"> la petici</w:t>
      </w:r>
      <w:r>
        <w:rPr>
          <w:rFonts w:asciiTheme="majorHAnsi" w:hAnsiTheme="majorHAnsi"/>
          <w:color w:val="auto"/>
          <w:sz w:val="16"/>
          <w:szCs w:val="16"/>
          <w:lang w:val="es-CO"/>
        </w:rPr>
        <w:t>ón inicial del peticionario Díaz</w:t>
      </w:r>
      <w:r w:rsidRPr="007A560B">
        <w:rPr>
          <w:rFonts w:asciiTheme="majorHAnsi" w:hAnsiTheme="majorHAnsi"/>
          <w:color w:val="auto"/>
          <w:sz w:val="16"/>
          <w:szCs w:val="16"/>
          <w:lang w:val="es-CO"/>
        </w:rPr>
        <w:t xml:space="preserve"> Alvarado de 22 de mayo de 2008.</w:t>
      </w:r>
    </w:p>
  </w:footnote>
  <w:footnote w:id="39">
    <w:p w14:paraId="5E4AC316"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7A560B">
        <w:rPr>
          <w:rFonts w:asciiTheme="majorHAnsi" w:hAnsiTheme="majorHAnsi"/>
          <w:sz w:val="16"/>
          <w:szCs w:val="16"/>
          <w:lang w:val="es-CO"/>
        </w:rPr>
        <w:t xml:space="preserve">. </w:t>
      </w:r>
      <w:r w:rsidRPr="007A560B">
        <w:rPr>
          <w:rFonts w:asciiTheme="majorHAnsi" w:hAnsiTheme="majorHAnsi"/>
          <w:color w:val="auto"/>
          <w:sz w:val="16"/>
          <w:szCs w:val="16"/>
          <w:lang w:val="es-CO"/>
        </w:rPr>
        <w:t>Resolución N°095-2001-CNM emitida por el Consejo Nacional de la Magistratura, 13 de julio de 2001. Anexo a la petici</w:t>
      </w:r>
      <w:r>
        <w:rPr>
          <w:rFonts w:asciiTheme="majorHAnsi" w:hAnsiTheme="majorHAnsi"/>
          <w:color w:val="auto"/>
          <w:sz w:val="16"/>
          <w:szCs w:val="16"/>
          <w:lang w:val="es-CO"/>
        </w:rPr>
        <w:t>ón inicial del peticionario Díaz</w:t>
      </w:r>
      <w:r w:rsidRPr="007A560B">
        <w:rPr>
          <w:rFonts w:asciiTheme="majorHAnsi" w:hAnsiTheme="majorHAnsi"/>
          <w:color w:val="auto"/>
          <w:sz w:val="16"/>
          <w:szCs w:val="16"/>
          <w:lang w:val="es-CO"/>
        </w:rPr>
        <w:t xml:space="preserve"> Alvarado de 22 de mayo de 2008.</w:t>
      </w:r>
    </w:p>
  </w:footnote>
  <w:footnote w:id="40">
    <w:p w14:paraId="752B08E4"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w:t>
      </w:r>
      <w:r w:rsidRPr="007A560B">
        <w:rPr>
          <w:rFonts w:asciiTheme="majorHAnsi" w:hAnsiTheme="majorHAnsi"/>
          <w:color w:val="auto"/>
          <w:sz w:val="16"/>
          <w:szCs w:val="16"/>
          <w:lang w:val="es-CO"/>
        </w:rPr>
        <w:t>Petición inicial del peticionario Díaz Alvarado, 22 de mayo de 2008.</w:t>
      </w:r>
    </w:p>
  </w:footnote>
  <w:footnote w:id="41">
    <w:p w14:paraId="0F01143C" w14:textId="77777777" w:rsidR="00CD0E5C" w:rsidRPr="007A560B" w:rsidRDefault="00CD0E5C" w:rsidP="00161DCA">
      <w:pPr>
        <w:pStyle w:val="FootnoteText"/>
        <w:contextualSpacing/>
        <w:jc w:val="both"/>
        <w:rPr>
          <w:rFonts w:asciiTheme="majorHAnsi" w:hAnsiTheme="majorHAnsi"/>
          <w:color w:val="auto"/>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20</w:t>
      </w:r>
      <w:r w:rsidRPr="007A560B">
        <w:rPr>
          <w:rFonts w:asciiTheme="majorHAnsi" w:hAnsiTheme="majorHAnsi"/>
          <w:sz w:val="16"/>
          <w:szCs w:val="16"/>
          <w:lang w:val="es-CO"/>
        </w:rPr>
        <w:t xml:space="preserve">. </w:t>
      </w:r>
      <w:r w:rsidRPr="007A560B">
        <w:rPr>
          <w:rFonts w:asciiTheme="majorHAnsi" w:hAnsiTheme="majorHAnsi"/>
          <w:color w:val="auto"/>
          <w:sz w:val="16"/>
          <w:szCs w:val="16"/>
          <w:lang w:val="es-CO"/>
        </w:rPr>
        <w:t>Resolución N°095-2001-CNM emitida por el Consejo Nacional de la Magistratura, 13 de julio de 2001. Anexo a la petici</w:t>
      </w:r>
      <w:r>
        <w:rPr>
          <w:rFonts w:asciiTheme="majorHAnsi" w:hAnsiTheme="majorHAnsi"/>
          <w:color w:val="auto"/>
          <w:sz w:val="16"/>
          <w:szCs w:val="16"/>
          <w:lang w:val="es-CO"/>
        </w:rPr>
        <w:t>ón inicial del peticionario Díaz</w:t>
      </w:r>
      <w:r w:rsidRPr="007A560B">
        <w:rPr>
          <w:rFonts w:asciiTheme="majorHAnsi" w:hAnsiTheme="majorHAnsi"/>
          <w:color w:val="auto"/>
          <w:sz w:val="16"/>
          <w:szCs w:val="16"/>
          <w:lang w:val="es-CO"/>
        </w:rPr>
        <w:t xml:space="preserve"> Alvarado de 22 de mayo de 2008.</w:t>
      </w:r>
    </w:p>
  </w:footnote>
  <w:footnote w:id="42">
    <w:p w14:paraId="3771E996" w14:textId="77777777" w:rsidR="00CD0E5C" w:rsidRPr="007A560B" w:rsidRDefault="00CD0E5C" w:rsidP="00161DCA">
      <w:pPr>
        <w:pStyle w:val="FootnoteText"/>
        <w:contextualSpacing/>
        <w:jc w:val="both"/>
        <w:rPr>
          <w:rFonts w:asciiTheme="majorHAnsi" w:hAnsiTheme="majorHAnsi"/>
          <w:color w:val="auto"/>
          <w:sz w:val="16"/>
          <w:szCs w:val="16"/>
          <w:lang w:val="es-CO"/>
        </w:rPr>
      </w:pPr>
      <w:r w:rsidRPr="007A560B">
        <w:rPr>
          <w:rFonts w:asciiTheme="majorHAnsi" w:hAnsiTheme="majorHAnsi"/>
          <w:color w:val="auto"/>
          <w:sz w:val="16"/>
          <w:szCs w:val="16"/>
          <w:vertAlign w:val="superscript"/>
          <w:lang w:val="es-CO"/>
        </w:rPr>
        <w:footnoteRef/>
      </w:r>
      <w:r>
        <w:rPr>
          <w:rFonts w:asciiTheme="majorHAnsi" w:hAnsiTheme="majorHAnsi"/>
          <w:color w:val="auto"/>
          <w:sz w:val="16"/>
          <w:szCs w:val="16"/>
          <w:lang w:val="es-CO"/>
        </w:rPr>
        <w:t xml:space="preserve"> Anexo 21</w:t>
      </w:r>
      <w:r w:rsidRPr="007A560B">
        <w:rPr>
          <w:rFonts w:asciiTheme="majorHAnsi" w:hAnsiTheme="majorHAnsi"/>
          <w:color w:val="auto"/>
          <w:sz w:val="16"/>
          <w:szCs w:val="16"/>
          <w:lang w:val="es-CO"/>
        </w:rPr>
        <w:t xml:space="preserve">. </w:t>
      </w:r>
      <w:r>
        <w:rPr>
          <w:rFonts w:asciiTheme="majorHAnsi" w:hAnsiTheme="majorHAnsi"/>
          <w:color w:val="auto"/>
          <w:sz w:val="16"/>
          <w:szCs w:val="16"/>
          <w:lang w:val="es-CO"/>
        </w:rPr>
        <w:t>Resolución</w:t>
      </w:r>
      <w:r w:rsidRPr="007A560B">
        <w:rPr>
          <w:rFonts w:asciiTheme="majorHAnsi" w:hAnsiTheme="majorHAnsi"/>
          <w:color w:val="auto"/>
          <w:sz w:val="16"/>
          <w:szCs w:val="16"/>
          <w:lang w:val="es-CO"/>
        </w:rPr>
        <w:t xml:space="preserve"> del Tribunal Constitucional emitida dentro del expediente 5845-2007-PA/TC, 19 de diciembre de 2007. Anexo a la petici</w:t>
      </w:r>
      <w:r>
        <w:rPr>
          <w:rFonts w:asciiTheme="majorHAnsi" w:hAnsiTheme="majorHAnsi"/>
          <w:color w:val="auto"/>
          <w:sz w:val="16"/>
          <w:szCs w:val="16"/>
          <w:lang w:val="es-CO"/>
        </w:rPr>
        <w:t>ón inicial del peticionario Díaz</w:t>
      </w:r>
      <w:r w:rsidRPr="007A560B">
        <w:rPr>
          <w:rFonts w:asciiTheme="majorHAnsi" w:hAnsiTheme="majorHAnsi"/>
          <w:color w:val="auto"/>
          <w:sz w:val="16"/>
          <w:szCs w:val="16"/>
          <w:lang w:val="es-CO"/>
        </w:rPr>
        <w:t xml:space="preserve"> Alvarado de 22 de mayo de 2008.</w:t>
      </w:r>
    </w:p>
  </w:footnote>
  <w:footnote w:id="43">
    <w:p w14:paraId="281AE447" w14:textId="77777777" w:rsidR="00CD0E5C" w:rsidRPr="007A560B" w:rsidRDefault="00CD0E5C" w:rsidP="00161DCA">
      <w:pPr>
        <w:pStyle w:val="FootnoteText"/>
        <w:contextualSpacing/>
        <w:jc w:val="both"/>
        <w:rPr>
          <w:rFonts w:asciiTheme="majorHAnsi" w:hAnsiTheme="majorHAnsi"/>
          <w:color w:val="auto"/>
          <w:sz w:val="16"/>
          <w:szCs w:val="16"/>
          <w:vertAlign w:val="superscript"/>
          <w:lang w:val="es-CO"/>
        </w:rPr>
      </w:pPr>
      <w:r w:rsidRPr="007A560B">
        <w:rPr>
          <w:rFonts w:asciiTheme="majorHAnsi" w:hAnsiTheme="majorHAnsi"/>
          <w:color w:val="auto"/>
          <w:sz w:val="16"/>
          <w:szCs w:val="16"/>
          <w:vertAlign w:val="superscript"/>
          <w:lang w:val="es-CO"/>
        </w:rPr>
        <w:footnoteRef/>
      </w:r>
      <w:r w:rsidRPr="007A560B">
        <w:rPr>
          <w:rFonts w:asciiTheme="majorHAnsi" w:hAnsiTheme="majorHAnsi"/>
          <w:color w:val="auto"/>
          <w:sz w:val="16"/>
          <w:szCs w:val="16"/>
          <w:vertAlign w:val="superscript"/>
          <w:lang w:val="es-CO"/>
        </w:rPr>
        <w:t xml:space="preserve"> </w:t>
      </w:r>
      <w:r>
        <w:rPr>
          <w:rFonts w:asciiTheme="majorHAnsi" w:hAnsiTheme="majorHAnsi"/>
          <w:color w:val="auto"/>
          <w:sz w:val="16"/>
          <w:szCs w:val="16"/>
          <w:lang w:val="es-CO"/>
        </w:rPr>
        <w:t>Anexo 22</w:t>
      </w:r>
      <w:r w:rsidRPr="007A560B">
        <w:rPr>
          <w:rFonts w:asciiTheme="majorHAnsi" w:hAnsiTheme="majorHAnsi"/>
          <w:color w:val="auto"/>
          <w:sz w:val="16"/>
          <w:szCs w:val="16"/>
          <w:lang w:val="es-CO"/>
        </w:rPr>
        <w:t>. Sentencia</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del Juzgado Mixto de Puente Piedra, Santa Rosa y Ancón emitida dentro del expediente 1014-06, 12 de diciembre de 2006. Anexo a la petici</w:t>
      </w:r>
      <w:r>
        <w:rPr>
          <w:rFonts w:asciiTheme="majorHAnsi" w:hAnsiTheme="majorHAnsi"/>
          <w:color w:val="auto"/>
          <w:sz w:val="16"/>
          <w:szCs w:val="16"/>
          <w:lang w:val="es-CO"/>
        </w:rPr>
        <w:t>ón inicial del peticionario Díaz</w:t>
      </w:r>
      <w:r w:rsidRPr="007A560B">
        <w:rPr>
          <w:rFonts w:asciiTheme="majorHAnsi" w:hAnsiTheme="majorHAnsi"/>
          <w:color w:val="auto"/>
          <w:sz w:val="16"/>
          <w:szCs w:val="16"/>
          <w:lang w:val="es-CO"/>
        </w:rPr>
        <w:t xml:space="preserve"> Alvarado de 22 de mayo de 2008.</w:t>
      </w:r>
    </w:p>
  </w:footnote>
  <w:footnote w:id="44">
    <w:p w14:paraId="2AB447E5" w14:textId="77777777" w:rsidR="00CD0E5C" w:rsidRPr="007A560B" w:rsidRDefault="00CD0E5C" w:rsidP="00EF1C74">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23</w:t>
      </w:r>
      <w:r w:rsidRPr="007A560B">
        <w:rPr>
          <w:rFonts w:asciiTheme="majorHAnsi" w:hAnsiTheme="majorHAnsi"/>
          <w:color w:val="auto"/>
          <w:sz w:val="16"/>
          <w:szCs w:val="16"/>
          <w:lang w:val="es-CO"/>
        </w:rPr>
        <w:t>. Sentencia</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de la Segunda Sala Civil de la Corte Superior de Justicia de Lima Norte emitida dentro del expediente 00389-2007-0, 3 de agosto de 2007. Anexo a la petici</w:t>
      </w:r>
      <w:r>
        <w:rPr>
          <w:rFonts w:asciiTheme="majorHAnsi" w:hAnsiTheme="majorHAnsi"/>
          <w:color w:val="auto"/>
          <w:sz w:val="16"/>
          <w:szCs w:val="16"/>
          <w:lang w:val="es-CO"/>
        </w:rPr>
        <w:t>ón inicial del peticionario Díaz</w:t>
      </w:r>
      <w:r w:rsidRPr="007A560B">
        <w:rPr>
          <w:rFonts w:asciiTheme="majorHAnsi" w:hAnsiTheme="majorHAnsi"/>
          <w:color w:val="auto"/>
          <w:sz w:val="16"/>
          <w:szCs w:val="16"/>
          <w:lang w:val="es-CO"/>
        </w:rPr>
        <w:t xml:space="preserve"> Alvarado de 22 de mayo de 2008.</w:t>
      </w:r>
    </w:p>
  </w:footnote>
  <w:footnote w:id="45">
    <w:p w14:paraId="6136D656" w14:textId="77777777" w:rsidR="00CD0E5C" w:rsidRPr="007A560B" w:rsidRDefault="00CD0E5C" w:rsidP="00585421">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21</w:t>
      </w:r>
      <w:r w:rsidRPr="007A560B">
        <w:rPr>
          <w:rFonts w:asciiTheme="majorHAnsi" w:hAnsiTheme="majorHAnsi"/>
          <w:color w:val="auto"/>
          <w:sz w:val="16"/>
          <w:szCs w:val="16"/>
          <w:lang w:val="es-CO"/>
        </w:rPr>
        <w:t xml:space="preserve">. </w:t>
      </w:r>
      <w:r>
        <w:rPr>
          <w:rFonts w:asciiTheme="majorHAnsi" w:hAnsiTheme="majorHAnsi"/>
          <w:color w:val="auto"/>
          <w:sz w:val="16"/>
          <w:szCs w:val="16"/>
          <w:lang w:val="es-CO"/>
        </w:rPr>
        <w:t>Resolución</w:t>
      </w:r>
      <w:r w:rsidRPr="007A560B">
        <w:rPr>
          <w:rFonts w:asciiTheme="majorHAnsi" w:hAnsiTheme="majorHAnsi"/>
          <w:color w:val="auto"/>
          <w:sz w:val="16"/>
          <w:szCs w:val="16"/>
          <w:lang w:val="es-CO"/>
        </w:rPr>
        <w:t xml:space="preserve"> del Tribunal Constitucional emitida dentro del expediente 5845-2007-PA/TC, 19 de diciembre de 2007. Anexo a la petici</w:t>
      </w:r>
      <w:r>
        <w:rPr>
          <w:rFonts w:asciiTheme="majorHAnsi" w:hAnsiTheme="majorHAnsi"/>
          <w:color w:val="auto"/>
          <w:sz w:val="16"/>
          <w:szCs w:val="16"/>
          <w:lang w:val="es-CO"/>
        </w:rPr>
        <w:t>ón inicial del peticionario Díaz</w:t>
      </w:r>
      <w:r w:rsidRPr="007A560B">
        <w:rPr>
          <w:rFonts w:asciiTheme="majorHAnsi" w:hAnsiTheme="majorHAnsi"/>
          <w:color w:val="auto"/>
          <w:sz w:val="16"/>
          <w:szCs w:val="16"/>
          <w:lang w:val="es-CO"/>
        </w:rPr>
        <w:t xml:space="preserve"> Alvarado de 22 de mayo de 2008.</w:t>
      </w:r>
    </w:p>
  </w:footnote>
  <w:footnote w:id="46">
    <w:p w14:paraId="0FC97949"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lang w:val="es-CO"/>
        </w:rPr>
        <w:footnoteRef/>
      </w:r>
      <w:r>
        <w:rPr>
          <w:rFonts w:asciiTheme="majorHAnsi" w:hAnsiTheme="majorHAnsi"/>
          <w:sz w:val="16"/>
          <w:szCs w:val="16"/>
          <w:lang w:val="es-CO"/>
        </w:rPr>
        <w:t xml:space="preserve"> Anexo 24</w:t>
      </w:r>
      <w:r w:rsidRPr="007A560B">
        <w:rPr>
          <w:rFonts w:asciiTheme="majorHAnsi" w:hAnsiTheme="majorHAnsi"/>
          <w:sz w:val="16"/>
          <w:szCs w:val="16"/>
          <w:lang w:val="es-CO"/>
        </w:rPr>
        <w:t>. Resolución Suprema N°094-87-JUS, 6 de mayo de 1987. Anexo a</w:t>
      </w:r>
      <w:r w:rsidRPr="007A560B">
        <w:rPr>
          <w:rFonts w:asciiTheme="majorHAnsi" w:hAnsiTheme="majorHAnsi"/>
          <w:color w:val="auto"/>
          <w:sz w:val="16"/>
          <w:szCs w:val="16"/>
          <w:lang w:val="es-CO"/>
        </w:rPr>
        <w:t xml:space="preserve"> la petición inicial de la peticionaria Rodríguez Ricse de 23 de agosto de 2008.</w:t>
      </w:r>
    </w:p>
  </w:footnote>
  <w:footnote w:id="47">
    <w:p w14:paraId="3F3EA968"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25</w:t>
      </w:r>
      <w:r w:rsidRPr="007A560B">
        <w:rPr>
          <w:rFonts w:asciiTheme="majorHAnsi" w:hAnsiTheme="majorHAnsi"/>
          <w:sz w:val="16"/>
          <w:szCs w:val="16"/>
          <w:lang w:val="es-CO"/>
        </w:rPr>
        <w:t xml:space="preserve">. </w:t>
      </w:r>
      <w:r>
        <w:rPr>
          <w:rFonts w:asciiTheme="majorHAnsi" w:hAnsiTheme="majorHAnsi"/>
          <w:color w:val="auto"/>
          <w:sz w:val="16"/>
          <w:szCs w:val="16"/>
          <w:lang w:val="es-CO"/>
        </w:rPr>
        <w:t>O</w:t>
      </w:r>
      <w:r w:rsidRPr="007A560B">
        <w:rPr>
          <w:rFonts w:asciiTheme="majorHAnsi" w:hAnsiTheme="majorHAnsi"/>
          <w:color w:val="auto"/>
          <w:sz w:val="16"/>
          <w:szCs w:val="16"/>
          <w:lang w:val="es-CO"/>
        </w:rPr>
        <w:t>ficio N°565-SG-CNM-2001 emitido por el Consejo Nacional de la Magistratura, 11 de septiembre de 2001. Anexo a la petición inicial de la peticionaria Rodríguez Ricse de 23 de agosto de 2008.</w:t>
      </w:r>
    </w:p>
  </w:footnote>
  <w:footnote w:id="48">
    <w:p w14:paraId="61F5C3FC"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w:t>
      </w:r>
      <w:r w:rsidRPr="007A560B">
        <w:rPr>
          <w:rFonts w:asciiTheme="majorHAnsi" w:hAnsiTheme="majorHAnsi"/>
          <w:color w:val="auto"/>
          <w:sz w:val="16"/>
          <w:szCs w:val="16"/>
          <w:lang w:val="es-CO"/>
        </w:rPr>
        <w:t>Petición inicial de la peticionaria Rodríguez Ricse, 23 de agosto de 2008.</w:t>
      </w:r>
    </w:p>
  </w:footnote>
  <w:footnote w:id="49">
    <w:p w14:paraId="2C6C8625" w14:textId="77777777" w:rsidR="00CD0E5C" w:rsidRPr="007A560B" w:rsidRDefault="00CD0E5C" w:rsidP="00161DCA">
      <w:pPr>
        <w:pStyle w:val="FootnoteText"/>
        <w:contextualSpacing/>
        <w:jc w:val="both"/>
        <w:rPr>
          <w:rFonts w:asciiTheme="majorHAnsi" w:hAnsiTheme="majorHAnsi"/>
          <w:color w:val="auto"/>
          <w:sz w:val="16"/>
          <w:szCs w:val="16"/>
          <w:lang w:val="es-CO"/>
        </w:rPr>
      </w:pPr>
      <w:r w:rsidRPr="007A560B">
        <w:rPr>
          <w:rStyle w:val="FootnoteReference"/>
          <w:rFonts w:asciiTheme="majorHAnsi" w:hAnsiTheme="majorHAnsi"/>
          <w:sz w:val="16"/>
          <w:szCs w:val="16"/>
        </w:rPr>
        <w:footnoteRef/>
      </w:r>
      <w:r>
        <w:rPr>
          <w:rFonts w:asciiTheme="majorHAnsi" w:hAnsiTheme="majorHAnsi"/>
          <w:sz w:val="16"/>
          <w:szCs w:val="16"/>
          <w:lang w:val="es-CO"/>
        </w:rPr>
        <w:t xml:space="preserve"> Anexo 25</w:t>
      </w:r>
      <w:r w:rsidRPr="007A560B">
        <w:rPr>
          <w:rFonts w:asciiTheme="majorHAnsi" w:hAnsiTheme="majorHAnsi"/>
          <w:sz w:val="16"/>
          <w:szCs w:val="16"/>
          <w:lang w:val="es-CO"/>
        </w:rPr>
        <w:t xml:space="preserve">. </w:t>
      </w:r>
      <w:r>
        <w:rPr>
          <w:rFonts w:asciiTheme="majorHAnsi" w:hAnsiTheme="majorHAnsi"/>
          <w:color w:val="auto"/>
          <w:sz w:val="16"/>
          <w:szCs w:val="16"/>
          <w:lang w:val="es-CO"/>
        </w:rPr>
        <w:t>O</w:t>
      </w:r>
      <w:r w:rsidRPr="007A560B">
        <w:rPr>
          <w:rFonts w:asciiTheme="majorHAnsi" w:hAnsiTheme="majorHAnsi"/>
          <w:color w:val="auto"/>
          <w:sz w:val="16"/>
          <w:szCs w:val="16"/>
          <w:lang w:val="es-CO"/>
        </w:rPr>
        <w:t>ficio N°565-SG-CNM-2001 emitido por el Consejo Nacional de la Magistratura, 11 de septiembre de 2001. Anexo a la petición inicial de la peticionaria Rodríguez Ricse de 23 de agosto de 2008.</w:t>
      </w:r>
    </w:p>
  </w:footnote>
  <w:footnote w:id="50">
    <w:p w14:paraId="5A630CFC"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26</w:t>
      </w:r>
      <w:r w:rsidRPr="007A560B">
        <w:rPr>
          <w:rFonts w:asciiTheme="majorHAnsi" w:hAnsiTheme="majorHAnsi"/>
          <w:color w:val="auto"/>
          <w:sz w:val="16"/>
          <w:szCs w:val="16"/>
          <w:lang w:val="es-CO"/>
        </w:rPr>
        <w:t>. Sentencia</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del Juzgado Mixto de Puente Piedra, Santa Rosa y Ancón emitida dentro del expediente 1098-06, 18 de diciembre de 2006. Anexo a la petición inicial de la peticionaria Rodríguez Ricse de 23 de agosto de 2008.</w:t>
      </w:r>
    </w:p>
  </w:footnote>
  <w:footnote w:id="51">
    <w:p w14:paraId="24F60DB2" w14:textId="77777777" w:rsidR="00CD0E5C" w:rsidRPr="007A560B" w:rsidRDefault="00CD0E5C" w:rsidP="00161DCA">
      <w:pPr>
        <w:pStyle w:val="FootnoteText"/>
        <w:contextualSpacing/>
        <w:jc w:val="both"/>
        <w:rPr>
          <w:rFonts w:asciiTheme="majorHAnsi" w:hAnsiTheme="majorHAnsi"/>
          <w:color w:val="auto"/>
          <w:sz w:val="16"/>
          <w:szCs w:val="16"/>
          <w:vertAlign w:val="superscript"/>
          <w:lang w:val="es-CO"/>
        </w:rPr>
      </w:pPr>
      <w:r w:rsidRPr="007A560B">
        <w:rPr>
          <w:rFonts w:asciiTheme="majorHAnsi" w:hAnsiTheme="majorHAnsi"/>
          <w:color w:val="auto"/>
          <w:sz w:val="16"/>
          <w:szCs w:val="16"/>
          <w:vertAlign w:val="superscript"/>
          <w:lang w:val="es-CO"/>
        </w:rPr>
        <w:footnoteRef/>
      </w:r>
      <w:r w:rsidRPr="007A560B">
        <w:rPr>
          <w:rFonts w:asciiTheme="majorHAnsi" w:hAnsiTheme="majorHAnsi"/>
          <w:color w:val="auto"/>
          <w:sz w:val="16"/>
          <w:szCs w:val="16"/>
          <w:vertAlign w:val="superscript"/>
          <w:lang w:val="es-CO"/>
        </w:rPr>
        <w:t xml:space="preserve"> </w:t>
      </w:r>
      <w:r>
        <w:rPr>
          <w:rFonts w:asciiTheme="majorHAnsi" w:hAnsiTheme="majorHAnsi"/>
          <w:color w:val="auto"/>
          <w:sz w:val="16"/>
          <w:szCs w:val="16"/>
          <w:lang w:val="es-CO"/>
        </w:rPr>
        <w:t>Anexo 26</w:t>
      </w:r>
      <w:r w:rsidRPr="007A560B">
        <w:rPr>
          <w:rFonts w:asciiTheme="majorHAnsi" w:hAnsiTheme="majorHAnsi"/>
          <w:color w:val="auto"/>
          <w:sz w:val="16"/>
          <w:szCs w:val="16"/>
          <w:lang w:val="es-CO"/>
        </w:rPr>
        <w:t>. Sentencia</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del Juzgado Mixto de Puente Piedra, Santa Rosa y Ancón emitida dentro del expediente 1098-06, 18 de diciembre de 2006. Anexo a la petición inicial de la peticionaria Rodríguez Ricse de 23 de agosto de 2008.</w:t>
      </w:r>
    </w:p>
  </w:footnote>
  <w:footnote w:id="52">
    <w:p w14:paraId="0E781998" w14:textId="77777777" w:rsidR="00CD0E5C" w:rsidRPr="007A560B" w:rsidRDefault="00CD0E5C" w:rsidP="00906775">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27</w:t>
      </w:r>
      <w:r w:rsidRPr="007A560B">
        <w:rPr>
          <w:rFonts w:asciiTheme="majorHAnsi" w:hAnsiTheme="majorHAnsi"/>
          <w:color w:val="auto"/>
          <w:sz w:val="16"/>
          <w:szCs w:val="16"/>
          <w:lang w:val="es-CO"/>
        </w:rPr>
        <w:t>. Sentencia</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de la Primera Sala Especializada Civil de la Corte Superior de Justicia de Lima Norte emitida dentro del expediente 0387-2007-0, 22 de junio de 2007.Anexo a la petición inicial de la peticionaria Rodríguez Ricse de 23 de agosto de 2008.</w:t>
      </w:r>
    </w:p>
  </w:footnote>
  <w:footnote w:id="53">
    <w:p w14:paraId="307A8AFA"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27</w:t>
      </w:r>
      <w:r w:rsidRPr="007A560B">
        <w:rPr>
          <w:rFonts w:asciiTheme="majorHAnsi" w:hAnsiTheme="majorHAnsi"/>
          <w:color w:val="auto"/>
          <w:sz w:val="16"/>
          <w:szCs w:val="16"/>
          <w:lang w:val="es-CO"/>
        </w:rPr>
        <w:t>. Sentencia</w:t>
      </w:r>
      <w:r>
        <w:rPr>
          <w:rFonts w:asciiTheme="majorHAnsi" w:hAnsiTheme="majorHAnsi"/>
          <w:color w:val="auto"/>
          <w:sz w:val="16"/>
          <w:szCs w:val="16"/>
          <w:lang w:val="es-CO"/>
        </w:rPr>
        <w:t xml:space="preserve"> </w:t>
      </w:r>
      <w:r w:rsidRPr="007A560B">
        <w:rPr>
          <w:rFonts w:asciiTheme="majorHAnsi" w:hAnsiTheme="majorHAnsi"/>
          <w:color w:val="auto"/>
          <w:sz w:val="16"/>
          <w:szCs w:val="16"/>
          <w:lang w:val="es-CO"/>
        </w:rPr>
        <w:t>de la Primera Sala Especializada Civil de la Corte Superior de Justicia de Lima Norte emitida dentro del expediente 0387-2007-0, 22 de junio de 2007.Anexo a la petición inicial de la peticionaria Rodríguez Ricse de 23 de agosto de 2008.</w:t>
      </w:r>
    </w:p>
  </w:footnote>
  <w:footnote w:id="54">
    <w:p w14:paraId="6832597B"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28</w:t>
      </w:r>
      <w:r w:rsidRPr="007A560B">
        <w:rPr>
          <w:rFonts w:asciiTheme="majorHAnsi" w:hAnsiTheme="majorHAnsi"/>
          <w:color w:val="auto"/>
          <w:sz w:val="16"/>
          <w:szCs w:val="16"/>
          <w:lang w:val="es-CO"/>
        </w:rPr>
        <w:t xml:space="preserve">. </w:t>
      </w:r>
      <w:r>
        <w:rPr>
          <w:rFonts w:asciiTheme="majorHAnsi" w:hAnsiTheme="majorHAnsi"/>
          <w:color w:val="auto"/>
          <w:sz w:val="16"/>
          <w:szCs w:val="16"/>
          <w:lang w:val="es-CO"/>
        </w:rPr>
        <w:t>Resolución</w:t>
      </w:r>
      <w:r w:rsidRPr="007A560B">
        <w:rPr>
          <w:rFonts w:asciiTheme="majorHAnsi" w:hAnsiTheme="majorHAnsi"/>
          <w:color w:val="auto"/>
          <w:sz w:val="16"/>
          <w:szCs w:val="16"/>
          <w:lang w:val="es-CO"/>
        </w:rPr>
        <w:t xml:space="preserve"> del Tribunal Constitucional emitida dentro del expediente N°5124-</w:t>
      </w:r>
      <w:r>
        <w:rPr>
          <w:rFonts w:asciiTheme="majorHAnsi" w:hAnsiTheme="majorHAnsi"/>
          <w:color w:val="auto"/>
          <w:sz w:val="16"/>
          <w:szCs w:val="16"/>
          <w:lang w:val="es-CO"/>
        </w:rPr>
        <w:t>2</w:t>
      </w:r>
      <w:r w:rsidRPr="007A560B">
        <w:rPr>
          <w:rFonts w:asciiTheme="majorHAnsi" w:hAnsiTheme="majorHAnsi"/>
          <w:color w:val="auto"/>
          <w:sz w:val="16"/>
          <w:szCs w:val="16"/>
          <w:lang w:val="es-CO"/>
        </w:rPr>
        <w:t>007-PA/TC, 20 de diciembre de 2007. Anexo a la petición inicial de la peticionaria Rodríguez Ricse de 23 de agosto de 2008.</w:t>
      </w:r>
    </w:p>
  </w:footnote>
  <w:footnote w:id="55">
    <w:p w14:paraId="6E9FBA84"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Pr>
          <w:rFonts w:asciiTheme="majorHAnsi" w:hAnsiTheme="majorHAnsi"/>
          <w:color w:val="auto"/>
          <w:sz w:val="16"/>
          <w:szCs w:val="16"/>
          <w:lang w:val="es-CO"/>
        </w:rPr>
        <w:t>Anexo 28</w:t>
      </w:r>
      <w:r w:rsidRPr="007A560B">
        <w:rPr>
          <w:rFonts w:asciiTheme="majorHAnsi" w:hAnsiTheme="majorHAnsi"/>
          <w:color w:val="auto"/>
          <w:sz w:val="16"/>
          <w:szCs w:val="16"/>
          <w:lang w:val="es-CO"/>
        </w:rPr>
        <w:t xml:space="preserve">. </w:t>
      </w:r>
      <w:r>
        <w:rPr>
          <w:rFonts w:asciiTheme="majorHAnsi" w:hAnsiTheme="majorHAnsi"/>
          <w:color w:val="auto"/>
          <w:sz w:val="16"/>
          <w:szCs w:val="16"/>
          <w:lang w:val="es-CO"/>
        </w:rPr>
        <w:t>Resolución</w:t>
      </w:r>
      <w:r w:rsidRPr="007A560B">
        <w:rPr>
          <w:rFonts w:asciiTheme="majorHAnsi" w:hAnsiTheme="majorHAnsi"/>
          <w:color w:val="auto"/>
          <w:sz w:val="16"/>
          <w:szCs w:val="16"/>
          <w:lang w:val="es-CO"/>
        </w:rPr>
        <w:t xml:space="preserve"> del Tribunal Constitucional emitida dentro del expediente N°5124-</w:t>
      </w:r>
      <w:r>
        <w:rPr>
          <w:rFonts w:asciiTheme="majorHAnsi" w:hAnsiTheme="majorHAnsi"/>
          <w:color w:val="auto"/>
          <w:sz w:val="16"/>
          <w:szCs w:val="16"/>
          <w:lang w:val="es-CO"/>
        </w:rPr>
        <w:t>2</w:t>
      </w:r>
      <w:r w:rsidRPr="007A560B">
        <w:rPr>
          <w:rFonts w:asciiTheme="majorHAnsi" w:hAnsiTheme="majorHAnsi"/>
          <w:color w:val="auto"/>
          <w:sz w:val="16"/>
          <w:szCs w:val="16"/>
          <w:lang w:val="es-CO"/>
        </w:rPr>
        <w:t>007-PA/TC, 20 de diciembre de 2007. Anexo a la petición inicial de la peticionaria Rodríguez Ricse de 23 de agosto de 2008.</w:t>
      </w:r>
    </w:p>
  </w:footnote>
  <w:footnote w:id="56">
    <w:p w14:paraId="00C35D4E" w14:textId="77777777" w:rsidR="00CD0E5C" w:rsidRPr="00427BE7" w:rsidRDefault="00CD0E5C" w:rsidP="00161DCA">
      <w:pPr>
        <w:pStyle w:val="FootnoteText"/>
        <w:jc w:val="both"/>
        <w:rPr>
          <w:rFonts w:asciiTheme="majorHAnsi" w:hAnsiTheme="majorHAnsi"/>
          <w:color w:val="auto"/>
          <w:sz w:val="16"/>
          <w:szCs w:val="16"/>
          <w:lang w:val="es-ES"/>
        </w:rPr>
      </w:pPr>
      <w:r w:rsidRPr="00427BE7">
        <w:rPr>
          <w:rStyle w:val="FootnoteReference"/>
          <w:rFonts w:asciiTheme="majorHAnsi" w:hAnsiTheme="majorHAnsi"/>
          <w:color w:val="auto"/>
          <w:sz w:val="16"/>
          <w:szCs w:val="16"/>
        </w:rPr>
        <w:footnoteRef/>
      </w:r>
      <w:r w:rsidRPr="00427BE7">
        <w:rPr>
          <w:rFonts w:asciiTheme="majorHAnsi" w:hAnsiTheme="majorHAnsi"/>
          <w:color w:val="auto"/>
          <w:sz w:val="16"/>
          <w:szCs w:val="16"/>
          <w:lang w:val="es-ES"/>
        </w:rPr>
        <w:t xml:space="preserve"> CIDH, Informe No. 65/11, Caso 12.600, Fondo, Hugo Quintana Coello y otros “Magistrados de la Corte Suprema de Justicia”, Ecuador, 31 de marzo de 2011, párr. 102; Corte IDH. </w:t>
      </w:r>
      <w:hyperlink r:id="rId1" w:history="1">
        <w:r w:rsidRPr="00427BE7">
          <w:rPr>
            <w:rStyle w:val="Hyperlink"/>
            <w:rFonts w:asciiTheme="majorHAnsi" w:hAnsiTheme="majorHAnsi" w:cs="Arial"/>
            <w:color w:val="auto"/>
            <w:sz w:val="16"/>
            <w:szCs w:val="16"/>
            <w:u w:val="none"/>
            <w:shd w:val="clear" w:color="auto" w:fill="FFFFFF"/>
            <w:lang w:val="es-ES"/>
          </w:rPr>
          <w:t>Caso Baena Ricardo y otros Vs. Panamá. Fondo, Reparaciones y Costas. Sentencia de 2 de febrero de 2001. Serie C No. 72</w:t>
        </w:r>
      </w:hyperlink>
      <w:r w:rsidRPr="00427BE7">
        <w:rPr>
          <w:rFonts w:asciiTheme="majorHAnsi" w:hAnsiTheme="majorHAnsi"/>
          <w:color w:val="auto"/>
          <w:sz w:val="16"/>
          <w:szCs w:val="16"/>
          <w:lang w:val="es-ES"/>
        </w:rPr>
        <w:t xml:space="preserve">, párrs. 126-127; </w:t>
      </w:r>
      <w:hyperlink r:id="rId2" w:history="1">
        <w:r w:rsidRPr="00427BE7">
          <w:rPr>
            <w:rStyle w:val="Hyperlink"/>
            <w:rFonts w:asciiTheme="majorHAnsi" w:hAnsiTheme="majorHAnsi" w:cs="Arial"/>
            <w:color w:val="auto"/>
            <w:sz w:val="16"/>
            <w:szCs w:val="16"/>
            <w:u w:val="none"/>
            <w:shd w:val="clear" w:color="auto" w:fill="FFFFFF"/>
            <w:lang w:val="es-ES"/>
          </w:rPr>
          <w:t>Caso del Tribunal Constitucional Vs. Perú. Fondo, Reparaciones y Costas. Sentencia de 31 de enero de 2001. Serie C No. 71</w:t>
        </w:r>
      </w:hyperlink>
      <w:r w:rsidRPr="00427BE7">
        <w:rPr>
          <w:rFonts w:asciiTheme="majorHAnsi" w:hAnsiTheme="majorHAnsi"/>
          <w:color w:val="auto"/>
          <w:sz w:val="16"/>
          <w:szCs w:val="16"/>
          <w:lang w:val="es-ES"/>
        </w:rPr>
        <w:t xml:space="preserve">, párrs. 69-70; y </w:t>
      </w:r>
      <w:hyperlink r:id="rId3" w:history="1">
        <w:r w:rsidRPr="00427BE7">
          <w:rPr>
            <w:rStyle w:val="Hyperlink"/>
            <w:rFonts w:asciiTheme="majorHAnsi" w:hAnsiTheme="majorHAnsi" w:cs="Arial"/>
            <w:color w:val="auto"/>
            <w:sz w:val="16"/>
            <w:szCs w:val="16"/>
            <w:u w:val="none"/>
            <w:shd w:val="clear" w:color="auto" w:fill="FFFFFF"/>
            <w:lang w:val="es-ES"/>
          </w:rPr>
          <w:t>Caso López Mendoza Vs. Venezuela. Fondo Reparaciones y Costas. Sentencia de 1 de septiembre de 2011 Serie C No. 233</w:t>
        </w:r>
      </w:hyperlink>
      <w:r>
        <w:rPr>
          <w:rFonts w:asciiTheme="majorHAnsi" w:hAnsiTheme="majorHAnsi"/>
          <w:color w:val="auto"/>
          <w:sz w:val="16"/>
          <w:szCs w:val="16"/>
          <w:lang w:val="es-ES"/>
        </w:rPr>
        <w:t>, párr. 111.</w:t>
      </w:r>
    </w:p>
  </w:footnote>
  <w:footnote w:id="57">
    <w:p w14:paraId="61DF3CD8" w14:textId="77777777" w:rsidR="00CD0E5C" w:rsidRPr="00427BE7" w:rsidRDefault="00CD0E5C" w:rsidP="00161DCA">
      <w:pPr>
        <w:pStyle w:val="FootnoteText"/>
        <w:jc w:val="both"/>
        <w:rPr>
          <w:rFonts w:asciiTheme="majorHAnsi" w:hAnsiTheme="majorHAnsi"/>
          <w:color w:val="auto"/>
          <w:sz w:val="16"/>
          <w:szCs w:val="16"/>
          <w:lang w:val="es-ES"/>
        </w:rPr>
      </w:pPr>
      <w:r w:rsidRPr="00427BE7">
        <w:rPr>
          <w:rStyle w:val="FootnoteReference"/>
          <w:rFonts w:asciiTheme="majorHAnsi" w:hAnsiTheme="majorHAnsi"/>
          <w:color w:val="auto"/>
          <w:sz w:val="16"/>
          <w:szCs w:val="16"/>
        </w:rPr>
        <w:footnoteRef/>
      </w:r>
      <w:r w:rsidRPr="00427BE7">
        <w:rPr>
          <w:rFonts w:asciiTheme="majorHAnsi" w:hAnsiTheme="majorHAnsi"/>
          <w:color w:val="auto"/>
          <w:sz w:val="16"/>
          <w:szCs w:val="16"/>
          <w:lang w:val="es-ES"/>
        </w:rPr>
        <w:t xml:space="preserve"> CIDH, Informe No. 65/11, Caso 12.600, Fondo, Hugo Quintana Coello y otros “Magistrados de la Corte Suprema de Justicia”, Ecuador, 31 de marzo de 2011, párr. 102; Corte IDH. </w:t>
      </w:r>
      <w:hyperlink r:id="rId4" w:history="1">
        <w:r w:rsidRPr="00427BE7">
          <w:rPr>
            <w:rStyle w:val="Hyperlink"/>
            <w:rFonts w:asciiTheme="majorHAnsi" w:hAnsiTheme="majorHAnsi" w:cs="Arial"/>
            <w:color w:val="auto"/>
            <w:sz w:val="16"/>
            <w:szCs w:val="16"/>
            <w:u w:val="none"/>
            <w:shd w:val="clear" w:color="auto" w:fill="FFFFFF"/>
            <w:lang w:val="es-ES"/>
          </w:rPr>
          <w:t>Caso Baena Ricardo y otros Vs. Panamá. Fondo, Reparaciones y Costas. Sentencia de 2 de febrero de 2001. Serie C No. 72</w:t>
        </w:r>
      </w:hyperlink>
      <w:r w:rsidRPr="00427BE7">
        <w:rPr>
          <w:rFonts w:asciiTheme="majorHAnsi" w:hAnsiTheme="majorHAnsi"/>
          <w:color w:val="auto"/>
          <w:sz w:val="16"/>
          <w:szCs w:val="16"/>
          <w:lang w:val="es-ES"/>
        </w:rPr>
        <w:t xml:space="preserve">, párrs. 126-127; </w:t>
      </w:r>
      <w:hyperlink r:id="rId5" w:history="1">
        <w:r w:rsidRPr="00427BE7">
          <w:rPr>
            <w:rStyle w:val="Hyperlink"/>
            <w:rFonts w:asciiTheme="majorHAnsi" w:hAnsiTheme="majorHAnsi" w:cs="Arial"/>
            <w:color w:val="auto"/>
            <w:sz w:val="16"/>
            <w:szCs w:val="16"/>
            <w:u w:val="none"/>
            <w:shd w:val="clear" w:color="auto" w:fill="FFFFFF"/>
            <w:lang w:val="es-ES"/>
          </w:rPr>
          <w:t>Caso del Tribunal Constitucional Vs. Perú. Fondo, Reparaciones y Costas. Sentencia de 31 de enero de 2001. Serie C No. 71</w:t>
        </w:r>
      </w:hyperlink>
      <w:r w:rsidRPr="00427BE7">
        <w:rPr>
          <w:rFonts w:asciiTheme="majorHAnsi" w:hAnsiTheme="majorHAnsi"/>
          <w:color w:val="auto"/>
          <w:sz w:val="16"/>
          <w:szCs w:val="16"/>
          <w:lang w:val="es-ES"/>
        </w:rPr>
        <w:t xml:space="preserve">, párrs. 69-70; y </w:t>
      </w:r>
      <w:hyperlink r:id="rId6" w:history="1">
        <w:r w:rsidRPr="00427BE7">
          <w:rPr>
            <w:rStyle w:val="Hyperlink"/>
            <w:rFonts w:asciiTheme="majorHAnsi" w:hAnsiTheme="majorHAnsi" w:cs="Arial"/>
            <w:color w:val="auto"/>
            <w:sz w:val="16"/>
            <w:szCs w:val="16"/>
            <w:u w:val="none"/>
            <w:shd w:val="clear" w:color="auto" w:fill="FFFFFF"/>
            <w:lang w:val="es-ES"/>
          </w:rPr>
          <w:t>Caso López Mendoza Vs. Venezuela. Fondo Reparaciones y Costas. Sentencia de 1 de septiembre de 2011 Serie C No. 233</w:t>
        </w:r>
      </w:hyperlink>
      <w:r w:rsidRPr="00427BE7">
        <w:rPr>
          <w:rFonts w:asciiTheme="majorHAnsi" w:hAnsiTheme="majorHAnsi"/>
          <w:color w:val="auto"/>
          <w:sz w:val="16"/>
          <w:szCs w:val="16"/>
          <w:lang w:val="es-ES"/>
        </w:rPr>
        <w:t xml:space="preserve">, párr. 111. </w:t>
      </w:r>
    </w:p>
  </w:footnote>
  <w:footnote w:id="58">
    <w:p w14:paraId="4C2E1D8F" w14:textId="77777777" w:rsidR="00CD0E5C" w:rsidRPr="006F2A97" w:rsidRDefault="00CD0E5C" w:rsidP="00161DCA">
      <w:pPr>
        <w:pStyle w:val="FootnoteText"/>
        <w:jc w:val="both"/>
        <w:rPr>
          <w:rFonts w:asciiTheme="majorHAnsi" w:hAnsiTheme="majorHAnsi"/>
          <w:sz w:val="16"/>
          <w:szCs w:val="16"/>
        </w:rPr>
      </w:pPr>
      <w:r w:rsidRPr="00427BE7">
        <w:rPr>
          <w:rStyle w:val="FootnoteReference"/>
          <w:rFonts w:asciiTheme="majorHAnsi" w:hAnsiTheme="majorHAnsi"/>
          <w:sz w:val="16"/>
          <w:szCs w:val="16"/>
        </w:rPr>
        <w:footnoteRef/>
      </w:r>
      <w:r w:rsidRPr="00427BE7">
        <w:rPr>
          <w:rFonts w:asciiTheme="majorHAnsi" w:hAnsiTheme="majorHAnsi"/>
          <w:sz w:val="16"/>
          <w:szCs w:val="16"/>
          <w:lang w:val="es-ES"/>
        </w:rPr>
        <w:t xml:space="preserve"> Corte IDH. </w:t>
      </w:r>
      <w:hyperlink r:id="rId7" w:history="1">
        <w:r w:rsidRPr="00427BE7">
          <w:rPr>
            <w:rStyle w:val="Hyperlink"/>
            <w:rFonts w:asciiTheme="majorHAnsi" w:hAnsiTheme="majorHAnsi" w:cs="Arial"/>
            <w:color w:val="auto"/>
            <w:sz w:val="16"/>
            <w:szCs w:val="16"/>
            <w:u w:val="none"/>
            <w:shd w:val="clear" w:color="auto" w:fill="FFFFFF"/>
            <w:lang w:val="es-ES"/>
          </w:rPr>
          <w:t>Caso Barbani Duarte y Otros Vs. Uruguay. Fondo Reparaciones y costas. Sentencia de 13 de octubre de 2011. Serie C No. 234</w:t>
        </w:r>
      </w:hyperlink>
      <w:r w:rsidRPr="00427BE7">
        <w:rPr>
          <w:rFonts w:asciiTheme="majorHAnsi" w:hAnsiTheme="majorHAnsi"/>
          <w:sz w:val="16"/>
          <w:szCs w:val="16"/>
          <w:lang w:val="es-ES"/>
        </w:rPr>
        <w:t xml:space="preserve">, párr. 118; y </w:t>
      </w:r>
      <w:hyperlink r:id="rId8" w:history="1">
        <w:r w:rsidRPr="00427BE7">
          <w:rPr>
            <w:rStyle w:val="Hyperlink"/>
            <w:rFonts w:asciiTheme="majorHAnsi" w:hAnsiTheme="majorHAnsi" w:cs="Arial"/>
            <w:color w:val="auto"/>
            <w:sz w:val="16"/>
            <w:szCs w:val="16"/>
            <w:u w:val="none"/>
            <w:shd w:val="clear" w:color="auto" w:fill="FFFFFF"/>
            <w:lang w:val="es-ES"/>
          </w:rPr>
          <w:t xml:space="preserve">Caso Claude Reyes y otros Vs. Chile. Fondo, Reparaciones y Costas. Sentencia de 19 de septiembre de 2006. </w:t>
        </w:r>
        <w:r w:rsidRPr="00052E54">
          <w:rPr>
            <w:rStyle w:val="Hyperlink"/>
            <w:rFonts w:asciiTheme="majorHAnsi" w:hAnsiTheme="majorHAnsi" w:cs="Arial"/>
            <w:color w:val="auto"/>
            <w:sz w:val="16"/>
            <w:szCs w:val="16"/>
            <w:u w:val="none"/>
            <w:shd w:val="clear" w:color="auto" w:fill="FFFFFF"/>
          </w:rPr>
          <w:t>Serie C No. 151</w:t>
        </w:r>
      </w:hyperlink>
      <w:r w:rsidRPr="00052E54">
        <w:rPr>
          <w:rFonts w:asciiTheme="majorHAnsi" w:hAnsiTheme="majorHAnsi"/>
          <w:sz w:val="16"/>
          <w:szCs w:val="16"/>
        </w:rPr>
        <w:t xml:space="preserve">, párr. </w:t>
      </w:r>
      <w:r w:rsidRPr="006F2A97">
        <w:rPr>
          <w:rFonts w:asciiTheme="majorHAnsi" w:hAnsiTheme="majorHAnsi"/>
          <w:sz w:val="16"/>
          <w:szCs w:val="16"/>
        </w:rPr>
        <w:t>118.</w:t>
      </w:r>
    </w:p>
  </w:footnote>
  <w:footnote w:id="59">
    <w:p w14:paraId="2030DC41" w14:textId="77777777" w:rsidR="00CD0E5C" w:rsidRPr="005C3D03" w:rsidRDefault="00CD0E5C" w:rsidP="00161DCA">
      <w:pPr>
        <w:pStyle w:val="FootnoteText"/>
        <w:jc w:val="both"/>
        <w:rPr>
          <w:rFonts w:asciiTheme="majorHAnsi" w:hAnsiTheme="majorHAnsi"/>
          <w:sz w:val="16"/>
          <w:szCs w:val="16"/>
        </w:rPr>
      </w:pPr>
      <w:r w:rsidRPr="00427BE7">
        <w:rPr>
          <w:rStyle w:val="FootnoteReference"/>
          <w:rFonts w:asciiTheme="majorHAnsi" w:hAnsiTheme="majorHAnsi"/>
          <w:sz w:val="16"/>
          <w:szCs w:val="16"/>
        </w:rPr>
        <w:footnoteRef/>
      </w:r>
      <w:r w:rsidRPr="00513617">
        <w:rPr>
          <w:rFonts w:asciiTheme="majorHAnsi" w:hAnsiTheme="majorHAnsi"/>
          <w:sz w:val="16"/>
          <w:szCs w:val="16"/>
        </w:rPr>
        <w:t xml:space="preserve"> TEDH, Cudak v. Luthania. </w:t>
      </w:r>
      <w:r w:rsidRPr="00427BE7">
        <w:rPr>
          <w:rFonts w:asciiTheme="majorHAnsi" w:hAnsiTheme="majorHAnsi"/>
          <w:sz w:val="16"/>
          <w:szCs w:val="16"/>
        </w:rPr>
        <w:t xml:space="preserve">Application No. 15869/025. </w:t>
      </w:r>
      <w:r w:rsidRPr="00707B80">
        <w:rPr>
          <w:rFonts w:asciiTheme="majorHAnsi" w:hAnsiTheme="majorHAnsi"/>
          <w:sz w:val="16"/>
          <w:szCs w:val="16"/>
        </w:rPr>
        <w:t>Judgment of March 23, 2010, para.42.</w:t>
      </w:r>
    </w:p>
  </w:footnote>
  <w:footnote w:id="60">
    <w:p w14:paraId="0D7E7345" w14:textId="77777777" w:rsidR="00CD0E5C" w:rsidRPr="001E3078" w:rsidRDefault="00CD0E5C" w:rsidP="00161DCA">
      <w:pPr>
        <w:jc w:val="both"/>
        <w:rPr>
          <w:rFonts w:ascii="Cambria" w:eastAsia="Times New Roman" w:hAnsi="Cambria"/>
          <w:sz w:val="16"/>
          <w:szCs w:val="16"/>
          <w:lang w:val="es-MX"/>
        </w:rPr>
      </w:pPr>
      <w:r w:rsidRPr="001E3078">
        <w:rPr>
          <w:rStyle w:val="FootnoteReference"/>
          <w:rFonts w:ascii="Cambria" w:hAnsi="Cambria"/>
          <w:sz w:val="16"/>
          <w:szCs w:val="16"/>
        </w:rPr>
        <w:footnoteRef/>
      </w:r>
      <w:r w:rsidRPr="00064450">
        <w:rPr>
          <w:rFonts w:ascii="Cambria" w:hAnsi="Cambria"/>
          <w:sz w:val="16"/>
          <w:szCs w:val="16"/>
          <w:lang w:val="en-US"/>
        </w:rPr>
        <w:t xml:space="preserve"> CIDH, Informe de Fondo 12.816, Informe No. 103/13, 5 de noviembre de 2013, párr. 112. Citando </w:t>
      </w:r>
      <w:r w:rsidRPr="00064450">
        <w:rPr>
          <w:rFonts w:ascii="Cambria" w:eastAsia="Times New Roman" w:hAnsi="Cambria"/>
          <w:sz w:val="16"/>
          <w:szCs w:val="16"/>
          <w:lang w:val="en-US"/>
        </w:rPr>
        <w:t xml:space="preserve">Naciones Unidas. Comité de Derechos Humanos. Observación General No. 32, CCPR/C/GC/32, 23 de agosto de 2007, párr.19. </w:t>
      </w:r>
      <w:r w:rsidRPr="001E3078">
        <w:rPr>
          <w:rFonts w:ascii="Cambria" w:eastAsia="Times New Roman" w:hAnsi="Cambria"/>
          <w:sz w:val="16"/>
          <w:szCs w:val="16"/>
          <w:lang w:val="es-MX"/>
        </w:rPr>
        <w:t>Ver en este sentido Cfr. El Hábeas Corpus Bajo Suspensión de Garantías (arts. 27.2, 25.1 y 7.6 Convención Americana sobre Derechos Humanos). Opinión Consultiva OC-8/87 del 30 de enero de 1987. Serie A No. 8, párr. 30.</w:t>
      </w:r>
      <w:r w:rsidRPr="001E3078">
        <w:rPr>
          <w:rFonts w:ascii="Cambria" w:hAnsi="Cambria"/>
          <w:sz w:val="16"/>
          <w:szCs w:val="16"/>
          <w:lang w:val="es-MX"/>
        </w:rPr>
        <w:t xml:space="preserve"> Ver también, CIDH, Democracia y Derechos Humanos en Venezuela, III. La Separación e independencia de los poderes públicos, 30 de diciembre de 2009. párr. 80.</w:t>
      </w:r>
    </w:p>
  </w:footnote>
  <w:footnote w:id="61">
    <w:p w14:paraId="4718E6BF" w14:textId="77777777" w:rsidR="00CD0E5C" w:rsidRPr="00277115" w:rsidRDefault="00CD0E5C" w:rsidP="00161DCA">
      <w:pPr>
        <w:pStyle w:val="FootnoteText"/>
        <w:jc w:val="both"/>
        <w:rPr>
          <w:rFonts w:ascii="Cambria" w:hAnsi="Cambria"/>
          <w:sz w:val="16"/>
          <w:szCs w:val="16"/>
          <w:lang w:val="es-CO"/>
        </w:rPr>
      </w:pPr>
      <w:r w:rsidRPr="001E3078">
        <w:rPr>
          <w:rFonts w:ascii="Cambria" w:hAnsi="Cambria"/>
          <w:sz w:val="16"/>
          <w:szCs w:val="16"/>
          <w:vertAlign w:val="superscript"/>
          <w:lang w:val="es-CO"/>
        </w:rPr>
        <w:footnoteRef/>
      </w:r>
      <w:r w:rsidRPr="001E3078">
        <w:rPr>
          <w:rFonts w:ascii="Cambria" w:hAnsi="Cambria"/>
          <w:sz w:val="16"/>
          <w:szCs w:val="16"/>
          <w:lang w:val="es-CO"/>
        </w:rPr>
        <w:t xml:space="preserve"> Corte </w:t>
      </w:r>
      <w:r>
        <w:rPr>
          <w:rFonts w:ascii="Cambria" w:hAnsi="Cambria"/>
          <w:sz w:val="16"/>
          <w:szCs w:val="16"/>
          <w:lang w:val="es-CO"/>
        </w:rPr>
        <w:t>IDH.</w:t>
      </w:r>
      <w:r w:rsidRPr="001E3078">
        <w:rPr>
          <w:rFonts w:ascii="Cambria" w:hAnsi="Cambria"/>
          <w:sz w:val="16"/>
          <w:szCs w:val="16"/>
          <w:lang w:val="es-CO"/>
        </w:rPr>
        <w:t xml:space="preserve"> </w:t>
      </w:r>
      <w:r w:rsidRPr="00277115">
        <w:rPr>
          <w:rFonts w:ascii="Cambria" w:hAnsi="Cambria"/>
          <w:sz w:val="16"/>
          <w:szCs w:val="16"/>
          <w:lang w:val="es-CO"/>
        </w:rPr>
        <w:t xml:space="preserve">Caso Reverón Trujillo Vs. Venezuela. Excepción Preliminar, Fondo, Reparaciones y Costas. Sentencia de 30 de junio de 2009. Serie C No. 197, párr. 67; CIDH, Democracia y Derechos Humanos, 30 de diciembre de 2009, párr. 185; CIDH, Segundo Informe sobre la Situación de las Defensoras y los Defensores de Derechos Humanos, 31 de diciembre de 2011, párr. 359. </w:t>
      </w:r>
    </w:p>
  </w:footnote>
  <w:footnote w:id="62">
    <w:p w14:paraId="21590E92" w14:textId="77777777" w:rsidR="00CD0E5C" w:rsidRPr="00277115" w:rsidRDefault="00CD0E5C" w:rsidP="00161DCA">
      <w:pPr>
        <w:pStyle w:val="FootnoteText"/>
        <w:jc w:val="both"/>
        <w:rPr>
          <w:rFonts w:ascii="Cambria" w:hAnsi="Cambria"/>
          <w:sz w:val="16"/>
          <w:szCs w:val="16"/>
          <w:lang w:val="es-CO"/>
        </w:rPr>
      </w:pPr>
      <w:r w:rsidRPr="00277115">
        <w:rPr>
          <w:rFonts w:ascii="Cambria" w:hAnsi="Cambria"/>
          <w:sz w:val="16"/>
          <w:szCs w:val="16"/>
          <w:vertAlign w:val="superscript"/>
          <w:lang w:val="es-CO"/>
        </w:rPr>
        <w:footnoteRef/>
      </w:r>
      <w:r w:rsidRPr="00277115">
        <w:rPr>
          <w:rFonts w:ascii="Cambria" w:hAnsi="Cambria"/>
          <w:sz w:val="16"/>
          <w:szCs w:val="16"/>
          <w:lang w:val="es-CO"/>
        </w:rPr>
        <w:t xml:space="preserve"> Así, por ejemplo, la Corte Interamericana ha señalado que de las obligaciones que tiene el Estado para los justiciables sujetos a procesos ante los tribunales surgen a su vez “derechos para los jueces”, entre ellos, la Corte ha señalado que “la garantía de no estar sujeto a libre remoción conlleva a que los procesos disciplinarios y sancionatorios de jueces deben necesariamente respetar las garantías del debido proceso y debe ofrecerse a los perjudicado</w:t>
      </w:r>
      <w:r>
        <w:rPr>
          <w:rFonts w:ascii="Cambria" w:hAnsi="Cambria"/>
          <w:sz w:val="16"/>
          <w:szCs w:val="16"/>
          <w:lang w:val="es-CO"/>
        </w:rPr>
        <w:t>s un recurso efectivo”. Corte IDH.</w:t>
      </w:r>
      <w:r w:rsidRPr="00277115">
        <w:rPr>
          <w:rFonts w:ascii="Cambria" w:hAnsi="Cambria"/>
          <w:sz w:val="16"/>
          <w:szCs w:val="16"/>
          <w:lang w:val="es-CO"/>
        </w:rPr>
        <w:t xml:space="preserve"> Caso Apitz Barbera y otros (“Corte Primera de lo Contencioso Administrativo”) Vs. Venezuela. Excepción Preliminar, Fondo, Reparaciones y Costas. Sentencia de 5 de agosto de 2008. Serie C No. 182, párr. 147.</w:t>
      </w:r>
    </w:p>
  </w:footnote>
  <w:footnote w:id="63">
    <w:p w14:paraId="7090C111" w14:textId="77777777" w:rsidR="00CD0E5C" w:rsidRPr="00277115" w:rsidRDefault="00CD0E5C" w:rsidP="00161DCA">
      <w:pPr>
        <w:jc w:val="both"/>
        <w:rPr>
          <w:rFonts w:ascii="Cambria" w:eastAsia="Times New Roman" w:hAnsi="Cambria"/>
          <w:sz w:val="16"/>
          <w:szCs w:val="16"/>
          <w:lang w:val="es-MX"/>
        </w:rPr>
      </w:pPr>
      <w:r w:rsidRPr="00277115">
        <w:rPr>
          <w:rStyle w:val="FootnoteReference"/>
          <w:rFonts w:ascii="Cambria" w:hAnsi="Cambria"/>
          <w:sz w:val="16"/>
          <w:szCs w:val="16"/>
        </w:rPr>
        <w:footnoteRef/>
      </w:r>
      <w:r w:rsidRPr="00277115">
        <w:rPr>
          <w:rFonts w:ascii="Cambria" w:hAnsi="Cambria"/>
          <w:sz w:val="16"/>
          <w:szCs w:val="16"/>
          <w:lang w:val="es-MX"/>
        </w:rPr>
        <w:t xml:space="preserve">CIDH, Informe sobre las Garantías para la Independencia de las y los Operadores de Justicia. Hacia el fortalecimiento del acceso a la justicia y el estado de derecho en las Américas,5 de diciembre de 2013, párrs. 56, 109 y 184, </w:t>
      </w:r>
      <w:r w:rsidRPr="00277115">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191.</w:t>
      </w:r>
    </w:p>
  </w:footnote>
  <w:footnote w:id="64">
    <w:p w14:paraId="7C4B94B2" w14:textId="77777777" w:rsidR="00CD0E5C" w:rsidRPr="00AF162B" w:rsidRDefault="00CD0E5C" w:rsidP="00161DCA">
      <w:pPr>
        <w:pStyle w:val="FootnoteText"/>
        <w:jc w:val="both"/>
        <w:rPr>
          <w:rFonts w:asciiTheme="majorHAnsi" w:hAnsiTheme="majorHAnsi"/>
          <w:sz w:val="16"/>
          <w:szCs w:val="16"/>
          <w:lang w:val="es-VE"/>
        </w:rPr>
      </w:pPr>
      <w:r w:rsidRPr="00AF162B">
        <w:rPr>
          <w:rStyle w:val="FootnoteReference"/>
          <w:rFonts w:asciiTheme="majorHAnsi" w:hAnsiTheme="majorHAnsi"/>
          <w:sz w:val="16"/>
          <w:szCs w:val="16"/>
        </w:rPr>
        <w:footnoteRef/>
      </w:r>
      <w:r w:rsidRPr="00AF162B">
        <w:rPr>
          <w:rFonts w:asciiTheme="majorHAnsi" w:hAnsiTheme="majorHAnsi"/>
          <w:sz w:val="16"/>
          <w:szCs w:val="16"/>
          <w:lang w:val="es-CO"/>
        </w:rPr>
        <w:t xml:space="preserve"> Corte IDH. Caso López Lone y otros Vs. Honduras. Excepción Preliminar, Fondo, Reparaciones y Costas. Sentencia de05 de octubre de 2015. Serie C No. 302, párr. 259.</w:t>
      </w:r>
    </w:p>
  </w:footnote>
  <w:footnote w:id="65">
    <w:p w14:paraId="7A9463AD" w14:textId="77777777" w:rsidR="00CD0E5C" w:rsidRPr="00F12B1E" w:rsidRDefault="00CD0E5C" w:rsidP="00161DCA">
      <w:pPr>
        <w:pStyle w:val="FootnoteText"/>
        <w:jc w:val="both"/>
        <w:rPr>
          <w:rFonts w:asciiTheme="majorHAnsi" w:hAnsiTheme="majorHAnsi"/>
          <w:sz w:val="16"/>
          <w:szCs w:val="16"/>
          <w:lang w:val="es-ES_tradnl"/>
        </w:rPr>
      </w:pPr>
      <w:r w:rsidRPr="00AF162B">
        <w:rPr>
          <w:rStyle w:val="FootnoteReference"/>
          <w:rFonts w:asciiTheme="majorHAnsi" w:hAnsiTheme="majorHAnsi"/>
          <w:sz w:val="16"/>
          <w:szCs w:val="16"/>
        </w:rPr>
        <w:footnoteRef/>
      </w:r>
      <w:r w:rsidRPr="00AF162B">
        <w:rPr>
          <w:rFonts w:asciiTheme="majorHAnsi" w:hAnsiTheme="majorHAnsi"/>
          <w:sz w:val="16"/>
          <w:szCs w:val="16"/>
          <w:lang w:val="es-CO"/>
        </w:rPr>
        <w:t xml:space="preserve"> </w:t>
      </w:r>
      <w:r w:rsidRPr="00AF162B">
        <w:rPr>
          <w:rFonts w:asciiTheme="majorHAnsi" w:hAnsiTheme="majorHAnsi"/>
          <w:sz w:val="16"/>
          <w:szCs w:val="16"/>
          <w:lang w:val="es-ES_tradnl"/>
        </w:rPr>
        <w:t xml:space="preserve">Corte IDH. Caso Apitz Barbera y otros (“Corte Primera de lo Contencioso Administrativo”) vs. Venezuela. Excepción Preliminar, Fondo, </w:t>
      </w:r>
      <w:r w:rsidRPr="00F12B1E">
        <w:rPr>
          <w:rFonts w:asciiTheme="majorHAnsi" w:hAnsiTheme="majorHAnsi"/>
          <w:sz w:val="16"/>
          <w:szCs w:val="16"/>
          <w:lang w:val="es-ES_tradnl"/>
        </w:rPr>
        <w:t>Reparaciones y Costas. Sentencia de 5 de agosto de 2008, Serie C No.182, párr.43.</w:t>
      </w:r>
    </w:p>
  </w:footnote>
  <w:footnote w:id="66">
    <w:p w14:paraId="29C0DD29" w14:textId="77777777" w:rsidR="00CD0E5C" w:rsidRPr="00F12B1E" w:rsidRDefault="00CD0E5C" w:rsidP="00161DCA">
      <w:pPr>
        <w:pStyle w:val="FootnoteText"/>
        <w:jc w:val="both"/>
        <w:rPr>
          <w:lang w:val="es-VE"/>
        </w:rPr>
      </w:pPr>
      <w:r w:rsidRPr="00F12B1E">
        <w:rPr>
          <w:rStyle w:val="FootnoteReference"/>
          <w:rFonts w:asciiTheme="majorHAnsi" w:hAnsiTheme="majorHAnsi"/>
          <w:sz w:val="16"/>
          <w:szCs w:val="16"/>
        </w:rPr>
        <w:footnoteRef/>
      </w:r>
      <w:r w:rsidRPr="00F12B1E">
        <w:rPr>
          <w:rFonts w:asciiTheme="majorHAnsi" w:hAnsiTheme="majorHAnsi"/>
          <w:sz w:val="16"/>
          <w:szCs w:val="16"/>
          <w:lang w:val="es-VE"/>
        </w:rPr>
        <w:t xml:space="preserve"> Ver </w:t>
      </w:r>
      <w:r w:rsidRPr="00F12B1E">
        <w:rPr>
          <w:rFonts w:asciiTheme="majorHAnsi" w:hAnsiTheme="majorHAnsi"/>
          <w:sz w:val="16"/>
          <w:szCs w:val="16"/>
          <w:lang w:val="es-ES_tradnl"/>
        </w:rPr>
        <w:t>principio 12,</w:t>
      </w:r>
      <w:r>
        <w:rPr>
          <w:rFonts w:asciiTheme="majorHAnsi" w:hAnsiTheme="majorHAnsi"/>
          <w:sz w:val="16"/>
          <w:szCs w:val="16"/>
          <w:lang w:val="es-ES_tradnl"/>
        </w:rPr>
        <w:t xml:space="preserve"> </w:t>
      </w:r>
      <w:r w:rsidRPr="00F12B1E">
        <w:rPr>
          <w:rFonts w:asciiTheme="majorHAnsi" w:hAnsiTheme="majorHAnsi"/>
          <w:sz w:val="16"/>
          <w:szCs w:val="16"/>
          <w:lang w:val="es-ES_tradnl"/>
        </w:rPr>
        <w:t xml:space="preserve">Principios básicos de Naciones Unidas relativos a la independencia de la judicatura, </w:t>
      </w:r>
      <w:r w:rsidRPr="00F12B1E">
        <w:rPr>
          <w:rFonts w:asciiTheme="majorHAnsi" w:hAnsiTheme="majorHAnsi"/>
          <w:sz w:val="16"/>
          <w:szCs w:val="16"/>
          <w:shd w:val="clear" w:color="auto" w:fill="FFFFFF"/>
          <w:lang w:val="es-VE"/>
        </w:rPr>
        <w:t>Adoptados por el Séptimo Congreso de las Naciones Unidas sobre Prevención del Delito y Tratamiento del Delincuente, celebrado en Milán del 26 de agosto al 6 de septiembre de 1985, y confirmados por la Asamblea General en sus resoluciones 40/32 de 29 de noviembre de 1985 y 40/146 de 13 de diciembre de 1985.</w:t>
      </w:r>
    </w:p>
  </w:footnote>
  <w:footnote w:id="67">
    <w:p w14:paraId="66F1245E" w14:textId="77777777" w:rsidR="00CD0E5C" w:rsidRPr="00375DD2" w:rsidRDefault="00CD0E5C" w:rsidP="00161DCA">
      <w:pPr>
        <w:pStyle w:val="FootnoteText"/>
        <w:jc w:val="both"/>
        <w:rPr>
          <w:rFonts w:asciiTheme="majorHAnsi" w:hAnsiTheme="majorHAnsi"/>
          <w:sz w:val="16"/>
          <w:szCs w:val="16"/>
          <w:lang w:val="es-VE"/>
        </w:rPr>
      </w:pPr>
      <w:r w:rsidRPr="00375DD2">
        <w:rPr>
          <w:rStyle w:val="FootnoteReference"/>
          <w:rFonts w:asciiTheme="majorHAnsi" w:hAnsiTheme="majorHAnsi"/>
          <w:sz w:val="16"/>
          <w:szCs w:val="16"/>
        </w:rPr>
        <w:footnoteRef/>
      </w:r>
      <w:r w:rsidRPr="00375DD2">
        <w:rPr>
          <w:rFonts w:asciiTheme="majorHAnsi" w:hAnsiTheme="majorHAnsi"/>
          <w:sz w:val="16"/>
          <w:szCs w:val="16"/>
          <w:lang w:val="es-VE"/>
        </w:rPr>
        <w:t xml:space="preserve"> Ver por ejemplo CIDH, Politicas integrales de protección de personas defensoras,</w:t>
      </w:r>
      <w:r>
        <w:rPr>
          <w:rFonts w:asciiTheme="majorHAnsi" w:hAnsiTheme="majorHAnsi"/>
          <w:sz w:val="16"/>
          <w:szCs w:val="16"/>
          <w:lang w:val="es-VE"/>
        </w:rPr>
        <w:t xml:space="preserve"> </w:t>
      </w:r>
      <w:r w:rsidRPr="00375DD2">
        <w:rPr>
          <w:rFonts w:asciiTheme="majorHAnsi" w:hAnsiTheme="majorHAnsi"/>
          <w:sz w:val="16"/>
          <w:szCs w:val="16"/>
          <w:lang w:val="es-VE"/>
        </w:rPr>
        <w:t>OEA/Ser.L/V/II.Doc.207/17, 29 de diciembre de 2017, párr. 47.</w:t>
      </w:r>
    </w:p>
  </w:footnote>
  <w:footnote w:id="68">
    <w:p w14:paraId="4C0D0603" w14:textId="77777777" w:rsidR="00CD0E5C" w:rsidRPr="00AF162B" w:rsidRDefault="00CD0E5C" w:rsidP="00161DCA">
      <w:pPr>
        <w:pStyle w:val="FootnoteText"/>
        <w:jc w:val="both"/>
        <w:rPr>
          <w:rFonts w:asciiTheme="majorHAnsi" w:hAnsiTheme="majorHAnsi"/>
          <w:sz w:val="16"/>
          <w:szCs w:val="16"/>
          <w:lang w:val="es-VE"/>
        </w:rPr>
      </w:pPr>
      <w:r w:rsidRPr="00375DD2">
        <w:rPr>
          <w:rStyle w:val="FootnoteReference"/>
          <w:rFonts w:asciiTheme="majorHAnsi" w:hAnsiTheme="majorHAnsi"/>
          <w:sz w:val="16"/>
          <w:szCs w:val="16"/>
        </w:rPr>
        <w:footnoteRef/>
      </w:r>
      <w:r w:rsidRPr="00375DD2">
        <w:rPr>
          <w:rFonts w:asciiTheme="majorHAnsi" w:hAnsiTheme="majorHAnsi"/>
          <w:sz w:val="16"/>
          <w:szCs w:val="16"/>
          <w:lang w:val="es-VE"/>
        </w:rPr>
        <w:t>Naciones Unidas. Directrices sobre la Función de los Fiscales. Aprobadas por el Octavo Congreso de las Naciones Unidas sobre Prevención del Delito y Tratamiento del Delincuente, celebrado en La Habana (Cuba) del 27 de agosto al 7 de septiembre de 1990.</w:t>
      </w:r>
    </w:p>
  </w:footnote>
  <w:footnote w:id="69">
    <w:p w14:paraId="2AAC6F18" w14:textId="77777777" w:rsidR="00CD0E5C" w:rsidRPr="00AF162B" w:rsidRDefault="00CD0E5C" w:rsidP="00161DCA">
      <w:pPr>
        <w:pStyle w:val="FootnoteText"/>
        <w:jc w:val="both"/>
        <w:rPr>
          <w:rFonts w:asciiTheme="majorHAnsi" w:hAnsiTheme="majorHAnsi"/>
          <w:sz w:val="16"/>
          <w:szCs w:val="16"/>
          <w:lang w:val="es-VE"/>
        </w:rPr>
      </w:pPr>
      <w:r w:rsidRPr="00AF162B">
        <w:rPr>
          <w:rStyle w:val="FootnoteReference"/>
          <w:rFonts w:asciiTheme="majorHAnsi" w:hAnsiTheme="majorHAnsi"/>
          <w:sz w:val="16"/>
          <w:szCs w:val="16"/>
        </w:rPr>
        <w:footnoteRef/>
      </w:r>
      <w:r w:rsidRPr="00AF162B">
        <w:rPr>
          <w:rFonts w:asciiTheme="majorHAnsi" w:hAnsiTheme="majorHAnsi"/>
          <w:sz w:val="16"/>
          <w:szCs w:val="16"/>
          <w:lang w:val="es-VE"/>
        </w:rPr>
        <w:t xml:space="preserve"> Consejo Consultivo de Jueces Europeos y Consejo Consultivo de Fiscales Europeos. Declaración de Burdeos, sobre los jueces y fiscales en una sociedad democrática, Estrasburgo, 8 de diciembre de 2009,párrs.10, 27 y.37.</w:t>
      </w:r>
    </w:p>
  </w:footnote>
  <w:footnote w:id="70">
    <w:p w14:paraId="342EA291" w14:textId="77777777" w:rsidR="00CD0E5C" w:rsidRPr="000467CB" w:rsidRDefault="00CD0E5C" w:rsidP="00161DCA">
      <w:pPr>
        <w:pStyle w:val="FootnoteText"/>
        <w:jc w:val="both"/>
        <w:rPr>
          <w:rFonts w:asciiTheme="majorHAnsi" w:hAnsiTheme="majorHAnsi"/>
          <w:sz w:val="16"/>
          <w:szCs w:val="16"/>
        </w:rPr>
      </w:pPr>
      <w:r w:rsidRPr="00AF162B">
        <w:rPr>
          <w:rStyle w:val="FootnoteReference"/>
          <w:rFonts w:asciiTheme="majorHAnsi" w:hAnsiTheme="majorHAnsi"/>
          <w:sz w:val="16"/>
          <w:szCs w:val="16"/>
        </w:rPr>
        <w:footnoteRef/>
      </w:r>
      <w:r w:rsidRPr="000467CB">
        <w:rPr>
          <w:rFonts w:asciiTheme="majorHAnsi" w:hAnsiTheme="majorHAnsi"/>
          <w:sz w:val="16"/>
          <w:szCs w:val="16"/>
        </w:rPr>
        <w:t xml:space="preserve"> Consultative Council of European Prosecutors, Opinion No. 9 (2014), Rome Charter, puntos IV y V.</w:t>
      </w:r>
    </w:p>
  </w:footnote>
  <w:footnote w:id="71">
    <w:p w14:paraId="7C1F6D03" w14:textId="77777777" w:rsidR="00CD0E5C" w:rsidRPr="00E135CE" w:rsidRDefault="00CD0E5C" w:rsidP="00161DCA">
      <w:pPr>
        <w:pStyle w:val="FootnoteText"/>
        <w:jc w:val="both"/>
        <w:rPr>
          <w:rFonts w:asciiTheme="majorHAnsi" w:hAnsiTheme="majorHAnsi"/>
          <w:sz w:val="16"/>
          <w:szCs w:val="16"/>
          <w:lang w:val="es-VE"/>
        </w:rPr>
      </w:pPr>
      <w:r w:rsidRPr="00E135CE">
        <w:rPr>
          <w:rStyle w:val="FootnoteReference"/>
          <w:rFonts w:asciiTheme="majorHAnsi" w:hAnsiTheme="majorHAnsi"/>
          <w:sz w:val="16"/>
          <w:szCs w:val="16"/>
        </w:rPr>
        <w:footnoteRef/>
      </w:r>
      <w:r w:rsidRPr="00E135CE">
        <w:rPr>
          <w:rFonts w:asciiTheme="majorHAnsi" w:hAnsiTheme="majorHAnsi"/>
          <w:sz w:val="16"/>
          <w:szCs w:val="16"/>
          <w:lang w:val="es-VE"/>
        </w:rPr>
        <w:t xml:space="preserve"> CIDH, Garantías para la independencia de las y los operadores de justicia. Hacia el fortalecimiento del acceso a la justicia y el estado de derecho en las Américas. OEA/Ser.L/V/II.Doc.44, 5 de diciembre de 2013, párr.87.</w:t>
      </w:r>
    </w:p>
  </w:footnote>
  <w:footnote w:id="72">
    <w:p w14:paraId="5CA61236" w14:textId="77777777" w:rsidR="00CD0E5C" w:rsidRPr="00E135CE" w:rsidRDefault="00CD0E5C" w:rsidP="00161DCA">
      <w:pPr>
        <w:pStyle w:val="FootnoteText"/>
        <w:jc w:val="both"/>
        <w:rPr>
          <w:rFonts w:asciiTheme="majorHAnsi" w:hAnsiTheme="majorHAnsi"/>
          <w:sz w:val="16"/>
          <w:szCs w:val="16"/>
          <w:lang w:val="es-VE"/>
        </w:rPr>
      </w:pPr>
      <w:r w:rsidRPr="00E135CE">
        <w:rPr>
          <w:rStyle w:val="FootnoteReference"/>
          <w:rFonts w:asciiTheme="majorHAnsi" w:hAnsiTheme="majorHAnsi"/>
          <w:sz w:val="16"/>
          <w:szCs w:val="16"/>
        </w:rPr>
        <w:footnoteRef/>
      </w:r>
      <w:r w:rsidRPr="00E135CE">
        <w:rPr>
          <w:rFonts w:asciiTheme="majorHAnsi" w:hAnsiTheme="majorHAnsi"/>
          <w:sz w:val="16"/>
          <w:szCs w:val="16"/>
          <w:lang w:val="es-VE"/>
        </w:rPr>
        <w:t xml:space="preserve"> CIDH, Garantías para la independencia de las y los operadores de justicia. Hacia el fortalecimiento del acceso a la justicia y el estado de derecho en las Américas. OEA/Ser.L/V/II.Doc.44, 5 de diciembre de 2013, párr.88.</w:t>
      </w:r>
    </w:p>
  </w:footnote>
  <w:footnote w:id="73">
    <w:p w14:paraId="6A1580D9" w14:textId="77777777" w:rsidR="00CD0E5C" w:rsidRPr="00E135CE" w:rsidRDefault="00CD0E5C" w:rsidP="00161DCA">
      <w:pPr>
        <w:pStyle w:val="FootnoteText"/>
        <w:jc w:val="both"/>
        <w:rPr>
          <w:lang w:val="es-VE"/>
        </w:rPr>
      </w:pPr>
      <w:r w:rsidRPr="00E135CE">
        <w:rPr>
          <w:rStyle w:val="FootnoteReference"/>
          <w:rFonts w:asciiTheme="majorHAnsi" w:hAnsiTheme="majorHAnsi"/>
          <w:sz w:val="16"/>
          <w:szCs w:val="16"/>
        </w:rPr>
        <w:footnoteRef/>
      </w:r>
      <w:r w:rsidRPr="00E135CE">
        <w:rPr>
          <w:rFonts w:asciiTheme="majorHAnsi" w:hAnsiTheme="majorHAnsi"/>
          <w:sz w:val="16"/>
          <w:szCs w:val="16"/>
          <w:lang w:val="es-VE"/>
        </w:rPr>
        <w:t xml:space="preserve"> Naciones Unidas. Asamblea General., Promoción y Protección de todos los derechos humanos, civiles, políticos, económicos, sociales y culturales, incluido el derecho al desarrollo. Informe del Relator Especial sobre la independencia de los magistrados y abogados Leandro Despouy, Adición. Misión a Guatemala, A/HRC/11/41/Add.3, 1 de octubre de 2009, párr. </w:t>
      </w:r>
      <w:r w:rsidRPr="00231A57">
        <w:rPr>
          <w:rFonts w:asciiTheme="majorHAnsi" w:hAnsiTheme="majorHAnsi"/>
          <w:sz w:val="16"/>
          <w:szCs w:val="16"/>
          <w:lang w:val="es-VE"/>
        </w:rPr>
        <w:t>110.</w:t>
      </w:r>
    </w:p>
  </w:footnote>
  <w:footnote w:id="74">
    <w:p w14:paraId="55FCFFDD"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El artículo 8.2 b establece el derecho a la comunicación previa y detallada al inculpado de la acusación formulada. </w:t>
      </w:r>
    </w:p>
  </w:footnote>
  <w:footnote w:id="75">
    <w:p w14:paraId="65F0A4DD"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El artículo 8.2 c se refiere a la concesión al inculpado del tiempo y de los medios adecuados para la preparación de su defensa. </w:t>
      </w:r>
    </w:p>
  </w:footnote>
  <w:footnote w:id="76">
    <w:p w14:paraId="5BF19B7C" w14:textId="77777777" w:rsidR="00CD0E5C" w:rsidRPr="007A560B" w:rsidRDefault="00CD0E5C" w:rsidP="00161DCA">
      <w:pPr>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ES"/>
        </w:rPr>
        <w:t xml:space="preserve"> Corte IDH. Condición Jurídica y Derechos de los Migrantes Indocumentados. Opinión Consultiva OC-18/03 de 17 de septiembre</w:t>
      </w:r>
      <w:r>
        <w:rPr>
          <w:rFonts w:asciiTheme="majorHAnsi" w:hAnsiTheme="majorHAnsi"/>
          <w:sz w:val="16"/>
          <w:szCs w:val="16"/>
          <w:lang w:val="es-ES"/>
        </w:rPr>
        <w:t xml:space="preserve"> </w:t>
      </w:r>
      <w:r w:rsidRPr="007A560B">
        <w:rPr>
          <w:rFonts w:asciiTheme="majorHAnsi" w:hAnsiTheme="majorHAnsi"/>
          <w:sz w:val="16"/>
          <w:szCs w:val="16"/>
          <w:lang w:val="es-ES"/>
        </w:rPr>
        <w:t xml:space="preserve">de 2003. </w:t>
      </w:r>
      <w:r w:rsidRPr="007A560B">
        <w:rPr>
          <w:rFonts w:asciiTheme="majorHAnsi" w:hAnsiTheme="majorHAnsi"/>
          <w:sz w:val="16"/>
          <w:szCs w:val="16"/>
          <w:lang w:val="es-VE"/>
        </w:rPr>
        <w:t>Serie A No. 18. párr. 117.</w:t>
      </w:r>
    </w:p>
  </w:footnote>
  <w:footnote w:id="77">
    <w:p w14:paraId="5EE6BEC9" w14:textId="77777777" w:rsidR="00CD0E5C" w:rsidRPr="007A560B" w:rsidRDefault="00CD0E5C" w:rsidP="00161DCA">
      <w:pPr>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Corte IDH, </w:t>
      </w:r>
      <w:r w:rsidRPr="007A560B">
        <w:rPr>
          <w:rFonts w:asciiTheme="majorHAnsi" w:hAnsiTheme="majorHAnsi"/>
          <w:bCs/>
          <w:sz w:val="16"/>
          <w:szCs w:val="16"/>
          <w:lang w:val="es-VE"/>
        </w:rPr>
        <w:t>Caso Barreto Leiva Vs. Venezuela.</w:t>
      </w:r>
      <w:r w:rsidRPr="007A560B">
        <w:rPr>
          <w:rFonts w:asciiTheme="majorHAnsi" w:hAnsiTheme="majorHAnsi"/>
          <w:b/>
          <w:bCs/>
          <w:sz w:val="16"/>
          <w:szCs w:val="16"/>
          <w:lang w:val="es-VE"/>
        </w:rPr>
        <w:t xml:space="preserve"> </w:t>
      </w:r>
      <w:r w:rsidRPr="007A560B">
        <w:rPr>
          <w:rFonts w:asciiTheme="majorHAnsi" w:hAnsiTheme="majorHAnsi"/>
          <w:sz w:val="16"/>
          <w:szCs w:val="16"/>
          <w:lang w:val="es-VE"/>
        </w:rPr>
        <w:t>Fondo, Reparaciones y Costas. Sentencia de 17 de noviembre de 2009. Serie C No. 206. Párr. 29. Citando mutatis mutandis Corte IDH, Caso Suárez Rosero Vs. Ecuador. Sentencia de 12 de noviembre de 1997. Serie C No. 35, párr. 71; y Caso Heliodoro Portugal Vs. Panamá. Excepciones Preliminares, Fondo, Reparaciones y Costas. Sentencia de 12 de agosto de 2008. Serie C No. 186, párr. 148.</w:t>
      </w:r>
    </w:p>
  </w:footnote>
  <w:footnote w:id="78">
    <w:p w14:paraId="5531FD95" w14:textId="77777777" w:rsidR="00CD0E5C" w:rsidRPr="0057224B" w:rsidRDefault="00CD0E5C" w:rsidP="00161DCA">
      <w:pPr>
        <w:pStyle w:val="FootnoteText"/>
        <w:jc w:val="both"/>
        <w:rPr>
          <w:rFonts w:asciiTheme="majorHAnsi" w:hAnsiTheme="majorHAnsi"/>
          <w:sz w:val="16"/>
          <w:szCs w:val="16"/>
          <w:lang w:val="es-ES"/>
        </w:rPr>
      </w:pPr>
      <w:r w:rsidRPr="0057224B">
        <w:rPr>
          <w:rStyle w:val="FootnoteReference"/>
          <w:rFonts w:asciiTheme="majorHAnsi" w:hAnsiTheme="majorHAnsi"/>
          <w:sz w:val="16"/>
          <w:szCs w:val="16"/>
        </w:rPr>
        <w:footnoteRef/>
      </w:r>
      <w:r w:rsidRPr="0057224B">
        <w:rPr>
          <w:rFonts w:asciiTheme="majorHAnsi" w:hAnsiTheme="majorHAnsi"/>
          <w:sz w:val="16"/>
          <w:szCs w:val="16"/>
          <w:lang w:val="es-VE"/>
        </w:rPr>
        <w:t xml:space="preserve"> El artículo 8.1 de la Convención Americana establece que</w:t>
      </w:r>
      <w:r w:rsidRPr="0057224B">
        <w:rPr>
          <w:rFonts w:asciiTheme="majorHAnsi" w:hAnsiTheme="majorHAnsi" w:cs="Tahoma"/>
          <w:sz w:val="16"/>
          <w:szCs w:val="16"/>
          <w:lang w:val="es-VE"/>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79">
    <w:p w14:paraId="79DA31CA" w14:textId="77777777" w:rsidR="00CD0E5C" w:rsidRPr="001D013D" w:rsidRDefault="00CD0E5C" w:rsidP="00161DCA">
      <w:pPr>
        <w:pStyle w:val="FootnoteText"/>
        <w:jc w:val="both"/>
        <w:rPr>
          <w:rFonts w:asciiTheme="majorHAnsi" w:hAnsiTheme="majorHAnsi"/>
          <w:sz w:val="16"/>
          <w:szCs w:val="16"/>
          <w:lang w:val="es-VE"/>
        </w:rPr>
      </w:pPr>
      <w:r w:rsidRPr="001D013D">
        <w:rPr>
          <w:rStyle w:val="FootnoteReference"/>
          <w:rFonts w:asciiTheme="majorHAnsi" w:hAnsiTheme="majorHAnsi"/>
          <w:sz w:val="16"/>
          <w:szCs w:val="16"/>
        </w:rPr>
        <w:footnoteRef/>
      </w:r>
      <w:r w:rsidRPr="001D013D">
        <w:rPr>
          <w:rFonts w:asciiTheme="majorHAnsi" w:hAnsiTheme="majorHAnsi"/>
          <w:sz w:val="16"/>
          <w:szCs w:val="16"/>
          <w:lang w:val="es-VE"/>
        </w:rPr>
        <w:t xml:space="preserve"> El artículo 9 establece que nadie puede ser condenado por acciones u omisiones que en el momento de cometerse no fueran delictivos según el derecho </w:t>
      </w:r>
      <w:r>
        <w:rPr>
          <w:rFonts w:asciiTheme="majorHAnsi" w:hAnsiTheme="majorHAnsi"/>
          <w:sz w:val="16"/>
          <w:szCs w:val="16"/>
          <w:lang w:val="es-VE"/>
        </w:rPr>
        <w:t xml:space="preserve">aplicable. Tampoco se puede imponer pena más grave que la aplicable en el momento de la comisión del delito. Si con posterioridad a la comisión del delito la ley dispone la imposición de una pena más leve, el delincuente se beneficiará de ello. </w:t>
      </w:r>
    </w:p>
  </w:footnote>
  <w:footnote w:id="80">
    <w:p w14:paraId="42B50B78"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Style w:val="FootnoteReference"/>
          <w:rFonts w:asciiTheme="majorHAnsi" w:hAnsiTheme="majorHAnsi"/>
          <w:sz w:val="16"/>
          <w:szCs w:val="16"/>
          <w:lang w:val="es-VE"/>
        </w:rPr>
        <w:t xml:space="preserve"> </w:t>
      </w:r>
      <w:r w:rsidRPr="007A560B">
        <w:rPr>
          <w:rFonts w:asciiTheme="majorHAnsi" w:hAnsiTheme="majorHAnsi"/>
          <w:sz w:val="16"/>
          <w:szCs w:val="16"/>
          <w:lang w:val="es-VE"/>
        </w:rPr>
        <w:t>CIDH, Garantías para la independencia de las y los operadores de justicia. Hacia el fortalecimiento del acceso a la justicia y el estado de derecho en las Américas, OEA/ser.L/V/II.Doc.44, 5 de diciembre de 2013, párr. 206 y 207.</w:t>
      </w:r>
    </w:p>
  </w:footnote>
  <w:footnote w:id="81">
    <w:p w14:paraId="3685C273"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CIDH, Informe sobre Terrorismo y Derechos Humanos, OEA/SER.L/V/II.116, Doc. 5 rev. 1, corr., 22 de octubre de 2002, párr. 225, y Resumen Ejecutivo, párr. 17.</w:t>
      </w:r>
    </w:p>
  </w:footnote>
  <w:footnote w:id="82">
    <w:p w14:paraId="44819709"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CIDH, Demanda y alegatos ante la Corte Interamericana de Derechos Humanos en el caso De la Cruz Flores v. Perú; referidos en: Corte IDH, Caso De la Cruz Flores v. Perú, Sentencia del 18 de noviembre de 2004 (fondo, reparaciones y costas), Serie C. No. 115, párr. 74.</w:t>
      </w:r>
    </w:p>
  </w:footnote>
  <w:footnote w:id="83">
    <w:p w14:paraId="3A8C0545"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300BD8">
        <w:rPr>
          <w:rFonts w:asciiTheme="majorHAnsi" w:hAnsiTheme="majorHAnsi"/>
          <w:sz w:val="16"/>
          <w:szCs w:val="16"/>
          <w:lang w:val="es-CO"/>
        </w:rPr>
        <w:t xml:space="preserve"> </w:t>
      </w:r>
      <w:r w:rsidRPr="00300BD8">
        <w:rPr>
          <w:rFonts w:asciiTheme="majorHAnsi" w:hAnsiTheme="majorHAnsi"/>
          <w:noProof/>
          <w:sz w:val="16"/>
          <w:szCs w:val="16"/>
          <w:lang w:val="es-CO"/>
        </w:rPr>
        <w:t xml:space="preserve">Corte IDH, Caso Maldonado Ordoñez Vs. </w:t>
      </w:r>
      <w:r w:rsidRPr="007A560B">
        <w:rPr>
          <w:rFonts w:asciiTheme="majorHAnsi" w:hAnsiTheme="majorHAnsi"/>
          <w:noProof/>
          <w:sz w:val="16"/>
          <w:szCs w:val="16"/>
          <w:lang w:val="es-CO"/>
        </w:rPr>
        <w:t xml:space="preserve">Guatemala. </w:t>
      </w:r>
      <w:r w:rsidRPr="007A560B">
        <w:rPr>
          <w:rFonts w:asciiTheme="majorHAnsi" w:hAnsiTheme="majorHAnsi"/>
          <w:noProof/>
          <w:sz w:val="16"/>
          <w:szCs w:val="16"/>
          <w:lang w:val="es-VE"/>
        </w:rPr>
        <w:t>Excepcion Preliminar, Fondo, Reparaciones y Costas. Sentencia de 3 de Mayo de 2016. Serie C No. 311, párr. 87.</w:t>
      </w:r>
    </w:p>
  </w:footnote>
  <w:footnote w:id="84">
    <w:p w14:paraId="28B2E91B"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300BD8">
        <w:rPr>
          <w:rFonts w:asciiTheme="majorHAnsi" w:hAnsiTheme="majorHAnsi"/>
          <w:sz w:val="16"/>
          <w:szCs w:val="16"/>
          <w:lang w:val="es-CO"/>
        </w:rPr>
        <w:t xml:space="preserve"> </w:t>
      </w:r>
      <w:r w:rsidRPr="00300BD8">
        <w:rPr>
          <w:rFonts w:asciiTheme="majorHAnsi" w:hAnsiTheme="majorHAnsi"/>
          <w:noProof/>
          <w:sz w:val="16"/>
          <w:szCs w:val="16"/>
          <w:lang w:val="es-CO"/>
        </w:rPr>
        <w:t xml:space="preserve">Corte IDH, Caso Maldonado Ordoñez Vs. </w:t>
      </w:r>
      <w:r w:rsidRPr="007A560B">
        <w:rPr>
          <w:rFonts w:asciiTheme="majorHAnsi" w:hAnsiTheme="majorHAnsi"/>
          <w:noProof/>
          <w:sz w:val="16"/>
          <w:szCs w:val="16"/>
          <w:lang w:val="es-CO"/>
        </w:rPr>
        <w:t xml:space="preserve">Guatemala. </w:t>
      </w:r>
      <w:r w:rsidRPr="007A560B">
        <w:rPr>
          <w:rFonts w:asciiTheme="majorHAnsi" w:hAnsiTheme="majorHAnsi"/>
          <w:noProof/>
          <w:sz w:val="16"/>
          <w:szCs w:val="16"/>
          <w:lang w:val="es-VE"/>
        </w:rPr>
        <w:t>Excepcion Preliminar, Fondo, Reparaciones y Costas. Sentencia de 3 de Mayo de 2016. Serie C No. 311, párr</w:t>
      </w:r>
    </w:p>
  </w:footnote>
  <w:footnote w:id="85">
    <w:p w14:paraId="72A57DC2"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R"/>
        </w:rPr>
        <w:t xml:space="preserve"> </w:t>
      </w:r>
      <w:r w:rsidRPr="007A560B">
        <w:rPr>
          <w:rFonts w:asciiTheme="majorHAnsi" w:hAnsiTheme="majorHAnsi"/>
          <w:sz w:val="16"/>
          <w:szCs w:val="16"/>
          <w:lang w:val="es-VE"/>
        </w:rPr>
        <w:t>CIDH, Informe No. 103/13, Caso 12.816, Informe de Fondo, Adán Guillermo Lopez Lone y otros, Honduras, párr.145.</w:t>
      </w:r>
    </w:p>
  </w:footnote>
  <w:footnote w:id="86">
    <w:p w14:paraId="51D66A38" w14:textId="77777777" w:rsidR="00CD0E5C" w:rsidRPr="007A560B" w:rsidRDefault="00CD0E5C" w:rsidP="00161DCA">
      <w:pPr>
        <w:pStyle w:val="FootnoteText"/>
        <w:contextualSpacing/>
        <w:jc w:val="both"/>
        <w:rPr>
          <w:rFonts w:asciiTheme="majorHAnsi" w:hAnsiTheme="majorHAnsi"/>
          <w:sz w:val="16"/>
          <w:szCs w:val="16"/>
          <w:lang w:val="es-ES_tradnl"/>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w:t>
      </w:r>
      <w:r w:rsidRPr="007A560B">
        <w:rPr>
          <w:rFonts w:asciiTheme="majorHAnsi" w:hAnsiTheme="majorHAnsi"/>
          <w:sz w:val="16"/>
          <w:szCs w:val="16"/>
          <w:lang w:val="es-ES_tradnl"/>
        </w:rPr>
        <w:t>Corte IDH. Caso Apitz Barbera y otros (“Corte Primera de lo Contencioso Administrativo”) vs. Venezuela. Excepción Preliminar, Fondo, Reparaciones y Costas. Sentencia de 5 de agosto de 2008, Serie C No.182, párr.78.</w:t>
      </w:r>
    </w:p>
  </w:footnote>
  <w:footnote w:id="87">
    <w:p w14:paraId="29B5D22B"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Corte IDH. Caso López Lone y otros Vs. Honduras. Excepción Preliminar, Fondo, Reparaciones y Costas. Sentencia de05 de octubre de 2015. Serie C No. 302, párr. 259.</w:t>
      </w:r>
    </w:p>
  </w:footnote>
  <w:footnote w:id="88">
    <w:p w14:paraId="3F4C7DB5" w14:textId="77777777" w:rsidR="00CD0E5C" w:rsidRPr="007A560B" w:rsidRDefault="00CD0E5C" w:rsidP="00161DCA">
      <w:pPr>
        <w:pStyle w:val="FootnoteText"/>
        <w:contextualSpacing/>
        <w:jc w:val="both"/>
        <w:rPr>
          <w:rFonts w:asciiTheme="majorHAnsi" w:hAnsiTheme="majorHAnsi"/>
          <w:sz w:val="16"/>
          <w:szCs w:val="16"/>
          <w:lang w:val="es-ES"/>
        </w:rPr>
      </w:pPr>
      <w:r w:rsidRPr="007A560B">
        <w:rPr>
          <w:rStyle w:val="FootnoteReference"/>
          <w:rFonts w:asciiTheme="majorHAnsi" w:hAnsiTheme="majorHAnsi"/>
          <w:sz w:val="16"/>
          <w:szCs w:val="16"/>
        </w:rPr>
        <w:footnoteRef/>
      </w:r>
      <w:r w:rsidRPr="007A560B">
        <w:rPr>
          <w:rFonts w:asciiTheme="majorHAnsi" w:hAnsiTheme="majorHAnsi"/>
          <w:sz w:val="16"/>
          <w:szCs w:val="16"/>
          <w:lang w:val="es-ES"/>
        </w:rPr>
        <w:t xml:space="preserve"> </w:t>
      </w:r>
      <w:r w:rsidRPr="007A560B">
        <w:rPr>
          <w:rStyle w:val="Strong"/>
          <w:rFonts w:asciiTheme="majorHAnsi" w:hAnsiTheme="majorHAnsi"/>
          <w:b w:val="0"/>
          <w:sz w:val="16"/>
          <w:szCs w:val="16"/>
          <w:shd w:val="clear" w:color="auto" w:fill="FFFFFF"/>
          <w:lang w:val="es-ES"/>
        </w:rPr>
        <w:t>Corte IDH. Caso López Lone y otros Vs. Honduras. Excepción Preliminar, Fondo, Reparaciones y Costas. Sentencia de 05 de octubre de 2015. Serie C No. 302, párr. 259; CIDH, Informe No. 38/16, Caso 12.768, Fondo, Omar Francisco Canales Ciliezar, Honduras, 31 de agosto de 2016,</w:t>
      </w:r>
      <w:r>
        <w:rPr>
          <w:rStyle w:val="Strong"/>
          <w:rFonts w:asciiTheme="majorHAnsi" w:hAnsiTheme="majorHAnsi"/>
          <w:b w:val="0"/>
          <w:sz w:val="16"/>
          <w:szCs w:val="16"/>
          <w:shd w:val="clear" w:color="auto" w:fill="FFFFFF"/>
          <w:lang w:val="es-ES"/>
        </w:rPr>
        <w:t xml:space="preserve"> </w:t>
      </w:r>
      <w:r w:rsidRPr="007A560B">
        <w:rPr>
          <w:rStyle w:val="Strong"/>
          <w:rFonts w:asciiTheme="majorHAnsi" w:hAnsiTheme="majorHAnsi"/>
          <w:b w:val="0"/>
          <w:sz w:val="16"/>
          <w:szCs w:val="16"/>
          <w:shd w:val="clear" w:color="auto" w:fill="FFFFFF"/>
          <w:lang w:val="es-ES"/>
        </w:rPr>
        <w:t xml:space="preserve">párr.71 y ss. Ver también CIDH, Garantías para la independencia de las y los operadores de justicia. Hacia el fortalecimiento del acceso a la justicia y el estado de derecho en las Américas, OEA/Ser.L/V/II.Doc.44, 5 de diciembre de 2013, párr.211. En dicho informe la CIDH consideró que “las disposiciones legales que establecen sanciones administrativas como la destitución deben ser sometidas al más estricto juicio de legalidad. Tales normas no solo aparejan una sanción de extraordinaria gravedad, y limitan el ejercicio de derechos, sino que, dado que constituyen una excepción a la estabilidad judicial, pueden comprometer los principios de independencia y autonomía judicial”. </w:t>
      </w:r>
    </w:p>
  </w:footnote>
  <w:footnote w:id="89">
    <w:p w14:paraId="747F6A88"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w:t>
      </w:r>
      <w:r w:rsidRPr="007A560B">
        <w:rPr>
          <w:rFonts w:asciiTheme="majorHAnsi" w:eastAsia="Arial Unicode MS" w:hAnsiTheme="majorHAnsi" w:cs="Times New Roman"/>
          <w:bCs/>
          <w:sz w:val="16"/>
          <w:szCs w:val="16"/>
          <w:shd w:val="clear" w:color="auto" w:fill="FFFFFF"/>
          <w:lang w:val="es-VE" w:eastAsia="en-US"/>
        </w:rPr>
        <w:t xml:space="preserve">Corte IDH. </w:t>
      </w:r>
      <w:r w:rsidRPr="007A560B">
        <w:rPr>
          <w:rFonts w:asciiTheme="majorHAnsi" w:eastAsia="Arial Unicode MS" w:hAnsiTheme="majorHAnsi" w:cs="Times New Roman"/>
          <w:bCs/>
          <w:sz w:val="16"/>
          <w:szCs w:val="16"/>
          <w:shd w:val="clear" w:color="auto" w:fill="FFFFFF"/>
          <w:lang w:val="es-ES" w:eastAsia="en-US"/>
        </w:rPr>
        <w:t>Caso López Lone y otros Vs. Honduras. Excepción Preliminar, Fondo, Reparaciones y Costas. Sentencia de 05 de octubre de 2015. Serie C No. 302, párr</w:t>
      </w:r>
      <w:r w:rsidRPr="007A560B">
        <w:rPr>
          <w:rFonts w:asciiTheme="majorHAnsi" w:hAnsiTheme="majorHAnsi"/>
          <w:sz w:val="16"/>
          <w:szCs w:val="16"/>
          <w:lang w:val="es-VE"/>
        </w:rPr>
        <w:t>.199.</w:t>
      </w:r>
      <w:r w:rsidRPr="007A560B">
        <w:rPr>
          <w:rStyle w:val="Strong"/>
          <w:rFonts w:asciiTheme="majorHAnsi" w:hAnsiTheme="majorHAnsi"/>
          <w:b w:val="0"/>
          <w:sz w:val="16"/>
          <w:szCs w:val="16"/>
          <w:shd w:val="clear" w:color="auto" w:fill="FFFFFF"/>
          <w:lang w:val="es-ES"/>
        </w:rPr>
        <w:t xml:space="preserve"> CIDH, Informe No. 26/18, Caso 12.839. Fondo. Ricardo Vaca Andrade. Ecuador. 2 de marzo 2018, párr. 107.</w:t>
      </w:r>
    </w:p>
  </w:footnote>
  <w:footnote w:id="90">
    <w:p w14:paraId="5726E52E" w14:textId="77777777" w:rsidR="00CD0E5C" w:rsidRPr="007A560B" w:rsidRDefault="00CD0E5C" w:rsidP="00161DC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w:t>
      </w:r>
      <w:r w:rsidRPr="007A560B">
        <w:rPr>
          <w:rFonts w:asciiTheme="majorHAnsi" w:hAnsiTheme="majorHAnsi"/>
          <w:sz w:val="16"/>
          <w:szCs w:val="16"/>
          <w:lang w:val="es-AR"/>
        </w:rPr>
        <w:t>El artículo 8. 2 h establece el “derecho de recurrir del fallo ante juez o tribunal superior”.</w:t>
      </w:r>
    </w:p>
  </w:footnote>
  <w:footnote w:id="91">
    <w:p w14:paraId="0A3306A2" w14:textId="77777777" w:rsidR="00CD0E5C" w:rsidRPr="007A560B" w:rsidRDefault="00CD0E5C" w:rsidP="00161DC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 xml:space="preserve"> </w:t>
      </w:r>
      <w:r w:rsidRPr="007A560B">
        <w:rPr>
          <w:rFonts w:asciiTheme="majorHAnsi" w:hAnsiTheme="majorHAnsi"/>
          <w:sz w:val="16"/>
          <w:szCs w:val="16"/>
          <w:lang w:val="es-AR"/>
        </w:rPr>
        <w:t>El artículo 25.1 de la Convención estipula que:</w:t>
      </w:r>
      <w:r w:rsidRPr="007A560B">
        <w:rPr>
          <w:rFonts w:asciiTheme="majorHAnsi" w:hAnsiTheme="majorHAnsi"/>
          <w:sz w:val="16"/>
          <w:szCs w:val="16"/>
          <w:lang w:val="es-VE"/>
        </w:rPr>
        <w:t xml:space="preserve"> </w:t>
      </w:r>
      <w:r w:rsidRPr="007A560B">
        <w:rPr>
          <w:rFonts w:asciiTheme="majorHAnsi" w:eastAsia="Times New Roman" w:hAnsiTheme="majorHAnsi"/>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2">
    <w:p w14:paraId="62921E0F"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Style w:val="FootnoteReference"/>
          <w:rFonts w:asciiTheme="majorHAnsi" w:hAnsiTheme="majorHAnsi"/>
          <w:sz w:val="16"/>
          <w:szCs w:val="16"/>
          <w:lang w:val="es-VE"/>
        </w:rPr>
        <w:t xml:space="preserve"> </w:t>
      </w:r>
      <w:r w:rsidRPr="007A560B">
        <w:rPr>
          <w:rFonts w:asciiTheme="majorHAnsi" w:hAnsiTheme="majorHAnsi"/>
          <w:sz w:val="16"/>
          <w:szCs w:val="16"/>
          <w:lang w:val="es-VE"/>
        </w:rPr>
        <w:t xml:space="preserve">CIDH, Garantías para la independencia de las y los operadores de justicia. Hacia el fortalecimiento del acceso a la justicia y el estado de derecho en las Américas, OEA/ser.L/V/II.Doc.44, 5 de diciembre de 2013, párr. 235; Corte IDH, </w:t>
      </w:r>
      <w:r w:rsidRPr="007A560B">
        <w:rPr>
          <w:rFonts w:asciiTheme="majorHAnsi" w:hAnsiTheme="majorHAnsi"/>
          <w:bCs/>
          <w:sz w:val="16"/>
          <w:szCs w:val="16"/>
          <w:lang w:val="es-VE"/>
        </w:rPr>
        <w:t xml:space="preserve">Caso Vélez Loor Vs. Panamá. </w:t>
      </w:r>
      <w:r w:rsidRPr="007A560B">
        <w:rPr>
          <w:rFonts w:asciiTheme="majorHAnsi" w:hAnsiTheme="majorHAnsi"/>
          <w:sz w:val="16"/>
          <w:szCs w:val="16"/>
          <w:lang w:val="es-VE"/>
        </w:rPr>
        <w:t xml:space="preserve">Excepciones Preliminares, Fondo, Reparaciones y Costas. Sentencia de 23 de noviembre de 2010. Serie C No. 218. </w:t>
      </w:r>
      <w:r w:rsidRPr="007A560B">
        <w:rPr>
          <w:rFonts w:asciiTheme="majorHAnsi" w:hAnsiTheme="majorHAnsi"/>
          <w:sz w:val="16"/>
          <w:szCs w:val="16"/>
          <w:lang w:val="es-ES_tradnl"/>
        </w:rPr>
        <w:t>Párr. 179.</w:t>
      </w:r>
    </w:p>
  </w:footnote>
  <w:footnote w:id="93">
    <w:p w14:paraId="1A9821E8"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CIDH, Informe No. 33/14, Caso 12.820, Manfred Amrhein y otros, Costa Rica. 4 de abril de 2014, párr.186.</w:t>
      </w:r>
    </w:p>
  </w:footnote>
  <w:footnote w:id="94">
    <w:p w14:paraId="59598FCE"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CIDH, Informe No. 33/14, Caso 12.820, Manfred Amrhein y otros, Costa Rica. 4 de abril de 2014, párr.186.</w:t>
      </w:r>
    </w:p>
  </w:footnote>
  <w:footnote w:id="95">
    <w:p w14:paraId="5BEEB976" w14:textId="77777777" w:rsidR="00CD0E5C" w:rsidRPr="007A560B" w:rsidRDefault="00CD0E5C" w:rsidP="00161DCA">
      <w:pPr>
        <w:pStyle w:val="FootnoteText"/>
        <w:contextualSpacing/>
        <w:jc w:val="both"/>
        <w:rPr>
          <w:rFonts w:asciiTheme="majorHAnsi" w:hAnsiTheme="majorHAnsi"/>
          <w:sz w:val="16"/>
          <w:szCs w:val="16"/>
          <w:lang w:val="es-VE"/>
        </w:rPr>
      </w:pPr>
      <w:r w:rsidRPr="007A560B">
        <w:rPr>
          <w:rStyle w:val="FootnoteReference"/>
          <w:rFonts w:asciiTheme="majorHAnsi" w:hAnsiTheme="majorHAnsi"/>
          <w:sz w:val="16"/>
          <w:szCs w:val="16"/>
        </w:rPr>
        <w:footnoteRef/>
      </w:r>
      <w:r w:rsidRPr="007A560B">
        <w:rPr>
          <w:rFonts w:asciiTheme="majorHAnsi" w:hAnsiTheme="majorHAnsi"/>
          <w:sz w:val="16"/>
          <w:szCs w:val="16"/>
          <w:lang w:val="es-VE"/>
        </w:rPr>
        <w:t>CIDH, Informe No. 33/14, Caso 12.820, Manfred Amrhein y otros, Costa Rica. 4 de abril de 2014, párr.186 y ss.</w:t>
      </w:r>
    </w:p>
  </w:footnote>
  <w:footnote w:id="96">
    <w:p w14:paraId="704DC5B9" w14:textId="77777777" w:rsidR="00CD0E5C" w:rsidRPr="007A560B" w:rsidRDefault="00CD0E5C" w:rsidP="00161DCA">
      <w:pPr>
        <w:tabs>
          <w:tab w:val="left" w:pos="180"/>
          <w:tab w:val="left" w:pos="900"/>
          <w:tab w:val="left" w:pos="1080"/>
        </w:tabs>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color w:val="000000"/>
          <w:sz w:val="16"/>
          <w:szCs w:val="16"/>
        </w:rPr>
        <w:t xml:space="preserve">Corte IDH, </w:t>
      </w:r>
      <w:r w:rsidRPr="007A560B">
        <w:rPr>
          <w:rFonts w:asciiTheme="majorHAnsi" w:hAnsiTheme="majorHAnsi"/>
          <w:bCs/>
          <w:color w:val="000000"/>
          <w:sz w:val="16"/>
          <w:szCs w:val="16"/>
        </w:rPr>
        <w:t xml:space="preserve">Caso Trabajadores Cesados del Congreso (Aguado Alfaro y otros). </w:t>
      </w:r>
      <w:r w:rsidRPr="007A560B">
        <w:rPr>
          <w:rFonts w:asciiTheme="majorHAnsi" w:hAnsiTheme="majorHAnsi"/>
          <w:color w:val="000000"/>
          <w:sz w:val="16"/>
          <w:szCs w:val="16"/>
        </w:rPr>
        <w:t xml:space="preserve">Sentencia sobre Excepciones Preliminares, Fondo, Reparaciones y Costas. Sentencia de 24 de Noviembre de 2006. Serie C No. 158. Párr. 125; Corte IDH, </w:t>
      </w:r>
      <w:r w:rsidRPr="007A560B">
        <w:rPr>
          <w:rFonts w:asciiTheme="majorHAnsi" w:hAnsiTheme="majorHAnsi"/>
          <w:bCs/>
          <w:color w:val="000000"/>
          <w:sz w:val="16"/>
          <w:szCs w:val="16"/>
        </w:rPr>
        <w:t xml:space="preserve">Caso Comunidad Indígena Yakye Axa. </w:t>
      </w:r>
      <w:r w:rsidRPr="007A560B">
        <w:rPr>
          <w:rFonts w:asciiTheme="majorHAnsi" w:hAnsiTheme="majorHAnsi"/>
          <w:color w:val="000000"/>
          <w:sz w:val="16"/>
          <w:szCs w:val="16"/>
        </w:rPr>
        <w:t>Sentencia 17 de junio de 2005. Serie C No. 125</w:t>
      </w:r>
      <w:r w:rsidRPr="007A560B">
        <w:rPr>
          <w:rFonts w:asciiTheme="majorHAnsi" w:hAnsiTheme="majorHAnsi"/>
          <w:sz w:val="16"/>
          <w:szCs w:val="16"/>
        </w:rPr>
        <w:t xml:space="preserve">. Párr.61; </w:t>
      </w:r>
      <w:r w:rsidRPr="007A560B">
        <w:rPr>
          <w:rFonts w:asciiTheme="majorHAnsi" w:hAnsiTheme="majorHAnsi"/>
          <w:color w:val="000000"/>
          <w:sz w:val="16"/>
          <w:szCs w:val="16"/>
        </w:rPr>
        <w:t xml:space="preserve">Corte IDH, </w:t>
      </w:r>
      <w:r w:rsidRPr="007A560B">
        <w:rPr>
          <w:rFonts w:asciiTheme="majorHAnsi" w:hAnsiTheme="majorHAnsi"/>
          <w:bCs/>
          <w:color w:val="000000"/>
          <w:sz w:val="16"/>
          <w:szCs w:val="16"/>
        </w:rPr>
        <w:t xml:space="preserve">Caso "Cinco Pensionistas". </w:t>
      </w:r>
      <w:r w:rsidRPr="007A560B">
        <w:rPr>
          <w:rFonts w:asciiTheme="majorHAnsi" w:hAnsiTheme="majorHAnsi"/>
          <w:color w:val="000000"/>
          <w:sz w:val="16"/>
          <w:szCs w:val="16"/>
        </w:rPr>
        <w:t>Sentencia de 28 de febrero de 2003. Serie C No. 98</w:t>
      </w:r>
      <w:r w:rsidRPr="007A560B">
        <w:rPr>
          <w:rFonts w:asciiTheme="majorHAnsi" w:hAnsiTheme="majorHAnsi"/>
          <w:sz w:val="16"/>
          <w:szCs w:val="16"/>
        </w:rPr>
        <w:t>. Párr. 136.</w:t>
      </w:r>
    </w:p>
  </w:footnote>
  <w:footnote w:id="97">
    <w:p w14:paraId="72A72C96" w14:textId="77777777" w:rsidR="00CD0E5C" w:rsidRPr="007A560B" w:rsidRDefault="00CD0E5C" w:rsidP="00161DCA">
      <w:pPr>
        <w:pStyle w:val="FootnoteText"/>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BF7571">
        <w:rPr>
          <w:rFonts w:asciiTheme="majorHAnsi" w:hAnsiTheme="majorHAnsi"/>
          <w:sz w:val="16"/>
          <w:szCs w:val="16"/>
          <w:lang w:val="es-VE"/>
        </w:rPr>
        <w:t xml:space="preserve"> Corte IDH. Caso Maldonado Ordóñez Vs. </w:t>
      </w:r>
      <w:r w:rsidRPr="007A560B">
        <w:rPr>
          <w:rFonts w:asciiTheme="majorHAnsi" w:hAnsiTheme="majorHAnsi"/>
          <w:sz w:val="16"/>
          <w:szCs w:val="16"/>
          <w:lang w:val="es-CO"/>
        </w:rPr>
        <w:t xml:space="preserve">Guatemala. Excepción Preliminar, Fondo, Reparaciones y Costas. </w:t>
      </w:r>
      <w:r w:rsidRPr="006F2A97">
        <w:rPr>
          <w:rFonts w:asciiTheme="majorHAnsi" w:hAnsiTheme="majorHAnsi"/>
          <w:sz w:val="16"/>
          <w:szCs w:val="16"/>
          <w:lang w:val="es-VE"/>
        </w:rPr>
        <w:t>Sentencia de 3 de mayo de 2016. Serie C No. 311, párr. 120.</w:t>
      </w:r>
    </w:p>
  </w:footnote>
  <w:footnote w:id="98">
    <w:p w14:paraId="1266635E" w14:textId="77777777" w:rsidR="00CD0E5C" w:rsidRPr="007A560B" w:rsidRDefault="00CD0E5C" w:rsidP="00161DCA">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El artículo 23 de la Convención Americana establece, en lo relevante, que: 1. Todos los ciudadanos deben gozar de los siguientes derechos y oportunidades: (…) c. De tener acceso, en condiciones generales de igualdad, a las funciones públicas de su país. 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99">
    <w:p w14:paraId="7CFEBDC6" w14:textId="77777777" w:rsidR="00CD0E5C" w:rsidRPr="007A560B" w:rsidRDefault="00CD0E5C" w:rsidP="00161DCA">
      <w:pPr>
        <w:pStyle w:val="Default"/>
        <w:contextualSpacing/>
        <w:jc w:val="both"/>
        <w:rPr>
          <w:rFonts w:asciiTheme="majorHAnsi" w:eastAsia="Arial Unicode MS" w:hAnsiTheme="majorHAnsi" w:cs="Cambria"/>
          <w:sz w:val="16"/>
          <w:szCs w:val="16"/>
          <w:bdr w:val="nil"/>
          <w:lang w:val="es-CO" w:eastAsia="es-ES"/>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w:t>
      </w:r>
      <w:r w:rsidRPr="007A560B">
        <w:rPr>
          <w:rFonts w:asciiTheme="majorHAnsi" w:eastAsia="Arial Unicode MS" w:hAnsiTheme="majorHAnsi" w:cs="Cambria"/>
          <w:sz w:val="16"/>
          <w:szCs w:val="16"/>
          <w:lang w:val="es-CO"/>
        </w:rPr>
        <w:t>CIDH, Informe No. 72/17, Caso 13.019. Fondo. Eduardo Rico. Argentina. 5 de julio de 2017</w:t>
      </w:r>
      <w:r w:rsidRPr="007A560B">
        <w:rPr>
          <w:rFonts w:asciiTheme="majorHAnsi" w:hAnsiTheme="majorHAnsi"/>
          <w:sz w:val="16"/>
          <w:szCs w:val="16"/>
          <w:lang w:val="es-VE"/>
        </w:rPr>
        <w:t>, párr.124.</w:t>
      </w:r>
      <w:r w:rsidRPr="007A560B">
        <w:rPr>
          <w:rFonts w:asciiTheme="majorHAnsi" w:hAnsiTheme="majorHAnsi"/>
          <w:sz w:val="16"/>
          <w:szCs w:val="16"/>
          <w:lang w:val="es-CO"/>
        </w:rPr>
        <w:t xml:space="preserve"> Corte IDH. Caso López Lone y otros Vs. Honduras. Excepción Preliminar, Fondo, Reparaciones y Costas. Sentencia de 5 de octubre de 2015. Serie C No. 302, párr.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3D97" w14:textId="77777777" w:rsidR="00CD0E5C" w:rsidRDefault="00CD0E5C" w:rsidP="00B158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018BE5E" w14:textId="77777777" w:rsidR="00CD0E5C" w:rsidRDefault="00CD0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BEB5" w14:textId="77777777" w:rsidR="00CD0E5C" w:rsidRDefault="00CD0E5C" w:rsidP="00A50FCF">
    <w:pPr>
      <w:pStyle w:val="Header"/>
      <w:tabs>
        <w:tab w:val="clear" w:pos="4320"/>
        <w:tab w:val="clear" w:pos="8640"/>
      </w:tabs>
      <w:jc w:val="center"/>
      <w:rPr>
        <w:sz w:val="22"/>
        <w:szCs w:val="22"/>
      </w:rPr>
    </w:pPr>
    <w:r>
      <w:rPr>
        <w:noProof/>
        <w:sz w:val="22"/>
        <w:szCs w:val="22"/>
        <w:lang w:val="en-US"/>
      </w:rPr>
      <w:drawing>
        <wp:inline distT="0" distB="0" distL="0" distR="0" wp14:anchorId="3725B9BD" wp14:editId="3D5362C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0610644" w14:textId="77777777" w:rsidR="00CD0E5C" w:rsidRPr="00EC7D62" w:rsidRDefault="00153BB0" w:rsidP="00A50FCF">
    <w:pPr>
      <w:pStyle w:val="Header"/>
      <w:tabs>
        <w:tab w:val="clear" w:pos="4320"/>
        <w:tab w:val="clear" w:pos="8640"/>
      </w:tabs>
      <w:jc w:val="center"/>
      <w:rPr>
        <w:sz w:val="22"/>
        <w:szCs w:val="22"/>
      </w:rPr>
    </w:pPr>
    <w:r>
      <w:rPr>
        <w:sz w:val="22"/>
        <w:szCs w:val="22"/>
      </w:rPr>
      <w:pict w14:anchorId="43011AF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BB1"/>
    <w:multiLevelType w:val="multilevel"/>
    <w:tmpl w:val="3C5C251C"/>
    <w:lvl w:ilvl="0">
      <w:start w:val="1"/>
      <w:numFmt w:val="decimal"/>
      <w:lvlText w:val="%1."/>
      <w:lvlJc w:val="left"/>
      <w:pPr>
        <w:ind w:left="1080" w:hanging="360"/>
      </w:pPr>
      <w:rPr>
        <w:rFonts w:hint="default"/>
        <w:lang w:val="es-UY"/>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24295F"/>
    <w:multiLevelType w:val="hybridMultilevel"/>
    <w:tmpl w:val="009CA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6C5B1D"/>
    <w:multiLevelType w:val="hybridMultilevel"/>
    <w:tmpl w:val="ABF2DEFC"/>
    <w:lvl w:ilvl="0" w:tplc="90C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33341B"/>
    <w:multiLevelType w:val="hybridMultilevel"/>
    <w:tmpl w:val="48BA54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22C1E"/>
    <w:multiLevelType w:val="hybridMultilevel"/>
    <w:tmpl w:val="5084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D4B9D"/>
    <w:multiLevelType w:val="hybridMultilevel"/>
    <w:tmpl w:val="1F02DFE8"/>
    <w:lvl w:ilvl="0" w:tplc="76A04792">
      <w:start w:val="1"/>
      <w:numFmt w:val="decimal"/>
      <w:lvlText w:val="%1."/>
      <w:lvlJc w:val="left"/>
      <w:pPr>
        <w:ind w:left="72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A53E3D"/>
    <w:multiLevelType w:val="hybridMultilevel"/>
    <w:tmpl w:val="801296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D4B021B"/>
    <w:multiLevelType w:val="hybridMultilevel"/>
    <w:tmpl w:val="91C22A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55"/>
  </w:num>
  <w:num w:numId="4">
    <w:abstractNumId w:val="22"/>
  </w:num>
  <w:num w:numId="5">
    <w:abstractNumId w:val="48"/>
  </w:num>
  <w:num w:numId="6">
    <w:abstractNumId w:val="27"/>
  </w:num>
  <w:num w:numId="7">
    <w:abstractNumId w:val="8"/>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39"/>
  </w:num>
  <w:num w:numId="40">
    <w:abstractNumId w:val="40"/>
  </w:num>
  <w:num w:numId="41">
    <w:abstractNumId w:val="47"/>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60"/>
  </w:num>
  <w:num w:numId="50">
    <w:abstractNumId w:val="61"/>
  </w:num>
  <w:num w:numId="51">
    <w:abstractNumId w:val="21"/>
  </w:num>
  <w:num w:numId="52">
    <w:abstractNumId w:val="41"/>
  </w:num>
  <w:num w:numId="53">
    <w:abstractNumId w:val="51"/>
  </w:num>
  <w:num w:numId="54">
    <w:abstractNumId w:val="44"/>
  </w:num>
  <w:num w:numId="55">
    <w:abstractNumId w:val="46"/>
  </w:num>
  <w:num w:numId="56">
    <w:abstractNumId w:val="34"/>
  </w:num>
  <w:num w:numId="57">
    <w:abstractNumId w:val="52"/>
  </w:num>
  <w:num w:numId="58">
    <w:abstractNumId w:val="59"/>
  </w:num>
  <w:num w:numId="59">
    <w:abstractNumId w:val="5"/>
  </w:num>
  <w:num w:numId="60">
    <w:abstractNumId w:val="3"/>
  </w:num>
  <w:num w:numId="61">
    <w:abstractNumId w:val="0"/>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240"/>
    <w:rsid w:val="0000036F"/>
    <w:rsid w:val="00000CDA"/>
    <w:rsid w:val="00001DB4"/>
    <w:rsid w:val="00005536"/>
    <w:rsid w:val="00006896"/>
    <w:rsid w:val="00006E1F"/>
    <w:rsid w:val="000070D7"/>
    <w:rsid w:val="000118EE"/>
    <w:rsid w:val="00013867"/>
    <w:rsid w:val="0001423E"/>
    <w:rsid w:val="00015071"/>
    <w:rsid w:val="000158FD"/>
    <w:rsid w:val="00015A82"/>
    <w:rsid w:val="0001788C"/>
    <w:rsid w:val="0002045A"/>
    <w:rsid w:val="00021D37"/>
    <w:rsid w:val="00022AA7"/>
    <w:rsid w:val="000233DD"/>
    <w:rsid w:val="00023D0B"/>
    <w:rsid w:val="000306BF"/>
    <w:rsid w:val="00030D27"/>
    <w:rsid w:val="000340B4"/>
    <w:rsid w:val="000360AD"/>
    <w:rsid w:val="00036E9F"/>
    <w:rsid w:val="00040C3A"/>
    <w:rsid w:val="000415D6"/>
    <w:rsid w:val="00042E0A"/>
    <w:rsid w:val="0004600C"/>
    <w:rsid w:val="000467CB"/>
    <w:rsid w:val="00050AF2"/>
    <w:rsid w:val="00051434"/>
    <w:rsid w:val="000515A0"/>
    <w:rsid w:val="00052E54"/>
    <w:rsid w:val="00052E90"/>
    <w:rsid w:val="00055E09"/>
    <w:rsid w:val="00056FCB"/>
    <w:rsid w:val="00057F3D"/>
    <w:rsid w:val="00061211"/>
    <w:rsid w:val="00062CBF"/>
    <w:rsid w:val="00064450"/>
    <w:rsid w:val="00066A41"/>
    <w:rsid w:val="00067A5D"/>
    <w:rsid w:val="00070AAA"/>
    <w:rsid w:val="000716C5"/>
    <w:rsid w:val="00071D45"/>
    <w:rsid w:val="000759E6"/>
    <w:rsid w:val="00075CCC"/>
    <w:rsid w:val="00075E23"/>
    <w:rsid w:val="00084342"/>
    <w:rsid w:val="00085433"/>
    <w:rsid w:val="000868EB"/>
    <w:rsid w:val="0008710E"/>
    <w:rsid w:val="0008768F"/>
    <w:rsid w:val="0009108D"/>
    <w:rsid w:val="0009344A"/>
    <w:rsid w:val="000A250C"/>
    <w:rsid w:val="000A392E"/>
    <w:rsid w:val="000A575F"/>
    <w:rsid w:val="000A576A"/>
    <w:rsid w:val="000B310F"/>
    <w:rsid w:val="000B7116"/>
    <w:rsid w:val="000B79D9"/>
    <w:rsid w:val="000C5C7B"/>
    <w:rsid w:val="000D069D"/>
    <w:rsid w:val="000D10DB"/>
    <w:rsid w:val="000D360F"/>
    <w:rsid w:val="000D3DED"/>
    <w:rsid w:val="000D3F36"/>
    <w:rsid w:val="000D7225"/>
    <w:rsid w:val="000E5EB5"/>
    <w:rsid w:val="000E6071"/>
    <w:rsid w:val="000F35ED"/>
    <w:rsid w:val="000F362F"/>
    <w:rsid w:val="000F3D43"/>
    <w:rsid w:val="000F63FE"/>
    <w:rsid w:val="000F6937"/>
    <w:rsid w:val="00107131"/>
    <w:rsid w:val="0010736F"/>
    <w:rsid w:val="001106BA"/>
    <w:rsid w:val="00113F73"/>
    <w:rsid w:val="001215EE"/>
    <w:rsid w:val="00121CC2"/>
    <w:rsid w:val="001225BC"/>
    <w:rsid w:val="00126A29"/>
    <w:rsid w:val="00131133"/>
    <w:rsid w:val="0013185B"/>
    <w:rsid w:val="00133EE5"/>
    <w:rsid w:val="0013433B"/>
    <w:rsid w:val="00134CC8"/>
    <w:rsid w:val="00135276"/>
    <w:rsid w:val="00135505"/>
    <w:rsid w:val="00135CF3"/>
    <w:rsid w:val="00152794"/>
    <w:rsid w:val="00153BB0"/>
    <w:rsid w:val="00160164"/>
    <w:rsid w:val="00161DCA"/>
    <w:rsid w:val="00166189"/>
    <w:rsid w:val="00167A34"/>
    <w:rsid w:val="00167AFC"/>
    <w:rsid w:val="00167F7E"/>
    <w:rsid w:val="00170CC8"/>
    <w:rsid w:val="00171B0E"/>
    <w:rsid w:val="001736A0"/>
    <w:rsid w:val="001756FD"/>
    <w:rsid w:val="00176BD0"/>
    <w:rsid w:val="00180CEB"/>
    <w:rsid w:val="00181F34"/>
    <w:rsid w:val="001838E3"/>
    <w:rsid w:val="001958EE"/>
    <w:rsid w:val="00195A40"/>
    <w:rsid w:val="001A5135"/>
    <w:rsid w:val="001A6DA1"/>
    <w:rsid w:val="001A7870"/>
    <w:rsid w:val="001A7A4A"/>
    <w:rsid w:val="001B2DCA"/>
    <w:rsid w:val="001B3496"/>
    <w:rsid w:val="001B5E70"/>
    <w:rsid w:val="001B5FEC"/>
    <w:rsid w:val="001B62F3"/>
    <w:rsid w:val="001C103F"/>
    <w:rsid w:val="001C1B41"/>
    <w:rsid w:val="001C23FB"/>
    <w:rsid w:val="001C638D"/>
    <w:rsid w:val="001D013D"/>
    <w:rsid w:val="001D18C7"/>
    <w:rsid w:val="001D336A"/>
    <w:rsid w:val="001D574B"/>
    <w:rsid w:val="001D65EF"/>
    <w:rsid w:val="001E03A6"/>
    <w:rsid w:val="001E15B6"/>
    <w:rsid w:val="001E23F6"/>
    <w:rsid w:val="001E2854"/>
    <w:rsid w:val="001E3038"/>
    <w:rsid w:val="001E73A9"/>
    <w:rsid w:val="001F1118"/>
    <w:rsid w:val="001F11D6"/>
    <w:rsid w:val="001F26AD"/>
    <w:rsid w:val="001F3566"/>
    <w:rsid w:val="001F497A"/>
    <w:rsid w:val="00200216"/>
    <w:rsid w:val="00203754"/>
    <w:rsid w:val="00204625"/>
    <w:rsid w:val="00204906"/>
    <w:rsid w:val="00204B61"/>
    <w:rsid w:val="002102A0"/>
    <w:rsid w:val="00210883"/>
    <w:rsid w:val="002128F4"/>
    <w:rsid w:val="00217ABC"/>
    <w:rsid w:val="002220DE"/>
    <w:rsid w:val="002250A3"/>
    <w:rsid w:val="0022549D"/>
    <w:rsid w:val="00226E1A"/>
    <w:rsid w:val="00231909"/>
    <w:rsid w:val="00231A57"/>
    <w:rsid w:val="0023254C"/>
    <w:rsid w:val="00234572"/>
    <w:rsid w:val="00235217"/>
    <w:rsid w:val="00236694"/>
    <w:rsid w:val="00240E5D"/>
    <w:rsid w:val="0024146A"/>
    <w:rsid w:val="00241EDC"/>
    <w:rsid w:val="00244CED"/>
    <w:rsid w:val="00245886"/>
    <w:rsid w:val="00246D1F"/>
    <w:rsid w:val="00247403"/>
    <w:rsid w:val="00247542"/>
    <w:rsid w:val="002662CF"/>
    <w:rsid w:val="00266B61"/>
    <w:rsid w:val="0026712A"/>
    <w:rsid w:val="002704DB"/>
    <w:rsid w:val="00272FBC"/>
    <w:rsid w:val="00276DF8"/>
    <w:rsid w:val="00277EF9"/>
    <w:rsid w:val="002827DD"/>
    <w:rsid w:val="00283DC7"/>
    <w:rsid w:val="0028419B"/>
    <w:rsid w:val="00286263"/>
    <w:rsid w:val="002922C0"/>
    <w:rsid w:val="00294E70"/>
    <w:rsid w:val="00294F12"/>
    <w:rsid w:val="002A0AAE"/>
    <w:rsid w:val="002A1C13"/>
    <w:rsid w:val="002A5820"/>
    <w:rsid w:val="002B47C0"/>
    <w:rsid w:val="002C1DE3"/>
    <w:rsid w:val="002C3E02"/>
    <w:rsid w:val="002D2B26"/>
    <w:rsid w:val="002D3271"/>
    <w:rsid w:val="002D7EA2"/>
    <w:rsid w:val="002E10BB"/>
    <w:rsid w:val="002E187C"/>
    <w:rsid w:val="002E25FD"/>
    <w:rsid w:val="002E3439"/>
    <w:rsid w:val="002E4AEA"/>
    <w:rsid w:val="002F6FB1"/>
    <w:rsid w:val="00300BD8"/>
    <w:rsid w:val="00301374"/>
    <w:rsid w:val="00302733"/>
    <w:rsid w:val="00303D52"/>
    <w:rsid w:val="00304CC9"/>
    <w:rsid w:val="00307ABC"/>
    <w:rsid w:val="00307AC1"/>
    <w:rsid w:val="003101CB"/>
    <w:rsid w:val="00314078"/>
    <w:rsid w:val="0031535D"/>
    <w:rsid w:val="00316876"/>
    <w:rsid w:val="003169E1"/>
    <w:rsid w:val="003205EC"/>
    <w:rsid w:val="003211C6"/>
    <w:rsid w:val="0032305C"/>
    <w:rsid w:val="0033028D"/>
    <w:rsid w:val="003305A4"/>
    <w:rsid w:val="0033169F"/>
    <w:rsid w:val="00335AB6"/>
    <w:rsid w:val="00336241"/>
    <w:rsid w:val="00340CFF"/>
    <w:rsid w:val="00341BCB"/>
    <w:rsid w:val="00342E19"/>
    <w:rsid w:val="00343C1A"/>
    <w:rsid w:val="00346B29"/>
    <w:rsid w:val="00346C95"/>
    <w:rsid w:val="00350F27"/>
    <w:rsid w:val="00354851"/>
    <w:rsid w:val="0035491B"/>
    <w:rsid w:val="00355952"/>
    <w:rsid w:val="00356185"/>
    <w:rsid w:val="00360281"/>
    <w:rsid w:val="00360380"/>
    <w:rsid w:val="00361415"/>
    <w:rsid w:val="00365872"/>
    <w:rsid w:val="0037519E"/>
    <w:rsid w:val="0037652E"/>
    <w:rsid w:val="00376ECB"/>
    <w:rsid w:val="00381B69"/>
    <w:rsid w:val="00386CF0"/>
    <w:rsid w:val="00387F64"/>
    <w:rsid w:val="00390EEB"/>
    <w:rsid w:val="00392395"/>
    <w:rsid w:val="003950CF"/>
    <w:rsid w:val="003A0633"/>
    <w:rsid w:val="003A0FBC"/>
    <w:rsid w:val="003A329C"/>
    <w:rsid w:val="003A5E0F"/>
    <w:rsid w:val="003B048D"/>
    <w:rsid w:val="003B3688"/>
    <w:rsid w:val="003B46B9"/>
    <w:rsid w:val="003B5294"/>
    <w:rsid w:val="003C050B"/>
    <w:rsid w:val="003C3D97"/>
    <w:rsid w:val="003C4FF9"/>
    <w:rsid w:val="003C6534"/>
    <w:rsid w:val="003C676B"/>
    <w:rsid w:val="003D1B25"/>
    <w:rsid w:val="003D29CC"/>
    <w:rsid w:val="003D3BC2"/>
    <w:rsid w:val="003D67C7"/>
    <w:rsid w:val="003D6C81"/>
    <w:rsid w:val="003D7C03"/>
    <w:rsid w:val="003E17D7"/>
    <w:rsid w:val="003E25F9"/>
    <w:rsid w:val="003E2A1E"/>
    <w:rsid w:val="003E432F"/>
    <w:rsid w:val="003E4DE4"/>
    <w:rsid w:val="003E6CA1"/>
    <w:rsid w:val="003F2799"/>
    <w:rsid w:val="003F2B27"/>
    <w:rsid w:val="003F31D5"/>
    <w:rsid w:val="003F4628"/>
    <w:rsid w:val="003F6035"/>
    <w:rsid w:val="0040085F"/>
    <w:rsid w:val="00404887"/>
    <w:rsid w:val="00405479"/>
    <w:rsid w:val="0040569F"/>
    <w:rsid w:val="0040623F"/>
    <w:rsid w:val="004069C7"/>
    <w:rsid w:val="00415EA0"/>
    <w:rsid w:val="00416101"/>
    <w:rsid w:val="00416281"/>
    <w:rsid w:val="004165C2"/>
    <w:rsid w:val="00416E06"/>
    <w:rsid w:val="00416F6B"/>
    <w:rsid w:val="00420418"/>
    <w:rsid w:val="004213F7"/>
    <w:rsid w:val="0042599F"/>
    <w:rsid w:val="00426114"/>
    <w:rsid w:val="004264E1"/>
    <w:rsid w:val="00426BBD"/>
    <w:rsid w:val="00427C38"/>
    <w:rsid w:val="0043055C"/>
    <w:rsid w:val="00430B7A"/>
    <w:rsid w:val="004312E6"/>
    <w:rsid w:val="00431A01"/>
    <w:rsid w:val="004321C9"/>
    <w:rsid w:val="004340E2"/>
    <w:rsid w:val="00434723"/>
    <w:rsid w:val="00434DA4"/>
    <w:rsid w:val="00437655"/>
    <w:rsid w:val="00441ECB"/>
    <w:rsid w:val="00442965"/>
    <w:rsid w:val="004525B3"/>
    <w:rsid w:val="00452D1C"/>
    <w:rsid w:val="004551B8"/>
    <w:rsid w:val="00457548"/>
    <w:rsid w:val="00467B7E"/>
    <w:rsid w:val="00467BC3"/>
    <w:rsid w:val="00477592"/>
    <w:rsid w:val="00482EC8"/>
    <w:rsid w:val="00486F1C"/>
    <w:rsid w:val="0049419D"/>
    <w:rsid w:val="00494FD9"/>
    <w:rsid w:val="004A1CF1"/>
    <w:rsid w:val="004A1FC2"/>
    <w:rsid w:val="004A219D"/>
    <w:rsid w:val="004A367A"/>
    <w:rsid w:val="004A401B"/>
    <w:rsid w:val="004A603C"/>
    <w:rsid w:val="004A71BE"/>
    <w:rsid w:val="004A7BEF"/>
    <w:rsid w:val="004B1244"/>
    <w:rsid w:val="004B20B7"/>
    <w:rsid w:val="004B22B7"/>
    <w:rsid w:val="004B6978"/>
    <w:rsid w:val="004C00C5"/>
    <w:rsid w:val="004C1B63"/>
    <w:rsid w:val="004C20D2"/>
    <w:rsid w:val="004C25AF"/>
    <w:rsid w:val="004C425D"/>
    <w:rsid w:val="004C4B62"/>
    <w:rsid w:val="004C54C9"/>
    <w:rsid w:val="004C790D"/>
    <w:rsid w:val="004D03A9"/>
    <w:rsid w:val="004D11BD"/>
    <w:rsid w:val="004D195F"/>
    <w:rsid w:val="004D2720"/>
    <w:rsid w:val="004D2971"/>
    <w:rsid w:val="004D2978"/>
    <w:rsid w:val="004D2B84"/>
    <w:rsid w:val="004D6025"/>
    <w:rsid w:val="004D6618"/>
    <w:rsid w:val="004D6750"/>
    <w:rsid w:val="004E2649"/>
    <w:rsid w:val="004E3116"/>
    <w:rsid w:val="004E3EA1"/>
    <w:rsid w:val="004E573F"/>
    <w:rsid w:val="004E6F56"/>
    <w:rsid w:val="004F0612"/>
    <w:rsid w:val="004F0D4A"/>
    <w:rsid w:val="004F47A6"/>
    <w:rsid w:val="004F47D1"/>
    <w:rsid w:val="004F47FE"/>
    <w:rsid w:val="004F5950"/>
    <w:rsid w:val="004F627D"/>
    <w:rsid w:val="00501399"/>
    <w:rsid w:val="00501E91"/>
    <w:rsid w:val="00503E0C"/>
    <w:rsid w:val="00504BF4"/>
    <w:rsid w:val="0050633D"/>
    <w:rsid w:val="00507BC4"/>
    <w:rsid w:val="00511E98"/>
    <w:rsid w:val="005128E4"/>
    <w:rsid w:val="005133DB"/>
    <w:rsid w:val="00521254"/>
    <w:rsid w:val="0052313E"/>
    <w:rsid w:val="00525425"/>
    <w:rsid w:val="00525560"/>
    <w:rsid w:val="00525F27"/>
    <w:rsid w:val="00527E49"/>
    <w:rsid w:val="005318F9"/>
    <w:rsid w:val="005354F3"/>
    <w:rsid w:val="00536923"/>
    <w:rsid w:val="00542BDB"/>
    <w:rsid w:val="005430CE"/>
    <w:rsid w:val="005448E7"/>
    <w:rsid w:val="00544C49"/>
    <w:rsid w:val="00546754"/>
    <w:rsid w:val="005516A1"/>
    <w:rsid w:val="0055311F"/>
    <w:rsid w:val="0055394F"/>
    <w:rsid w:val="00556FC1"/>
    <w:rsid w:val="00563C24"/>
    <w:rsid w:val="00565744"/>
    <w:rsid w:val="00567F49"/>
    <w:rsid w:val="0057128A"/>
    <w:rsid w:val="0057224B"/>
    <w:rsid w:val="0057402A"/>
    <w:rsid w:val="005771D0"/>
    <w:rsid w:val="00582012"/>
    <w:rsid w:val="0058379E"/>
    <w:rsid w:val="00583B4D"/>
    <w:rsid w:val="00585421"/>
    <w:rsid w:val="0058554F"/>
    <w:rsid w:val="0058669D"/>
    <w:rsid w:val="00590538"/>
    <w:rsid w:val="0059191A"/>
    <w:rsid w:val="00591AFF"/>
    <w:rsid w:val="005921FF"/>
    <w:rsid w:val="005937F1"/>
    <w:rsid w:val="005958BF"/>
    <w:rsid w:val="00595C1D"/>
    <w:rsid w:val="00595D54"/>
    <w:rsid w:val="005970BA"/>
    <w:rsid w:val="005A0555"/>
    <w:rsid w:val="005A4AB1"/>
    <w:rsid w:val="005A6D0E"/>
    <w:rsid w:val="005A7247"/>
    <w:rsid w:val="005A7F75"/>
    <w:rsid w:val="005B0986"/>
    <w:rsid w:val="005B10B9"/>
    <w:rsid w:val="005B4E9F"/>
    <w:rsid w:val="005B52B0"/>
    <w:rsid w:val="005B6806"/>
    <w:rsid w:val="005C3530"/>
    <w:rsid w:val="005C3D03"/>
    <w:rsid w:val="005C4225"/>
    <w:rsid w:val="005C4CA5"/>
    <w:rsid w:val="005D0DB1"/>
    <w:rsid w:val="005D4D3C"/>
    <w:rsid w:val="005D6319"/>
    <w:rsid w:val="005E182E"/>
    <w:rsid w:val="005E1908"/>
    <w:rsid w:val="005E27AD"/>
    <w:rsid w:val="005E6C79"/>
    <w:rsid w:val="005E6DD8"/>
    <w:rsid w:val="005E7308"/>
    <w:rsid w:val="005E7390"/>
    <w:rsid w:val="005F0DAD"/>
    <w:rsid w:val="005F0F33"/>
    <w:rsid w:val="005F309E"/>
    <w:rsid w:val="005F312E"/>
    <w:rsid w:val="005F4914"/>
    <w:rsid w:val="005F6AA4"/>
    <w:rsid w:val="00600DEB"/>
    <w:rsid w:val="00602796"/>
    <w:rsid w:val="0061124F"/>
    <w:rsid w:val="00612043"/>
    <w:rsid w:val="006125C3"/>
    <w:rsid w:val="00623CA5"/>
    <w:rsid w:val="00624B62"/>
    <w:rsid w:val="00625C58"/>
    <w:rsid w:val="00627C9F"/>
    <w:rsid w:val="006311E9"/>
    <w:rsid w:val="00631B7C"/>
    <w:rsid w:val="006320BF"/>
    <w:rsid w:val="00632354"/>
    <w:rsid w:val="00632D09"/>
    <w:rsid w:val="00640B58"/>
    <w:rsid w:val="00642810"/>
    <w:rsid w:val="006450B4"/>
    <w:rsid w:val="006469D5"/>
    <w:rsid w:val="0065183D"/>
    <w:rsid w:val="00652333"/>
    <w:rsid w:val="0065391F"/>
    <w:rsid w:val="00653AB0"/>
    <w:rsid w:val="006552F0"/>
    <w:rsid w:val="00656212"/>
    <w:rsid w:val="0065706A"/>
    <w:rsid w:val="00657B49"/>
    <w:rsid w:val="00661700"/>
    <w:rsid w:val="00662AC3"/>
    <w:rsid w:val="00662BC9"/>
    <w:rsid w:val="00666EDC"/>
    <w:rsid w:val="00667439"/>
    <w:rsid w:val="00667CAA"/>
    <w:rsid w:val="00671107"/>
    <w:rsid w:val="00672209"/>
    <w:rsid w:val="00673A71"/>
    <w:rsid w:val="00674365"/>
    <w:rsid w:val="00676A1B"/>
    <w:rsid w:val="0068009E"/>
    <w:rsid w:val="006816D4"/>
    <w:rsid w:val="00681E9B"/>
    <w:rsid w:val="00682365"/>
    <w:rsid w:val="0068445C"/>
    <w:rsid w:val="006853C4"/>
    <w:rsid w:val="00686B78"/>
    <w:rsid w:val="00686CF4"/>
    <w:rsid w:val="006906A7"/>
    <w:rsid w:val="0069095F"/>
    <w:rsid w:val="006909AE"/>
    <w:rsid w:val="00692219"/>
    <w:rsid w:val="00692FE6"/>
    <w:rsid w:val="006937C4"/>
    <w:rsid w:val="00696BB1"/>
    <w:rsid w:val="006A17D2"/>
    <w:rsid w:val="006A35B1"/>
    <w:rsid w:val="006A39C6"/>
    <w:rsid w:val="006A4B39"/>
    <w:rsid w:val="006A5527"/>
    <w:rsid w:val="006A73E6"/>
    <w:rsid w:val="006B0E02"/>
    <w:rsid w:val="006B2D5C"/>
    <w:rsid w:val="006B4D40"/>
    <w:rsid w:val="006B78B3"/>
    <w:rsid w:val="006C1A20"/>
    <w:rsid w:val="006C1B53"/>
    <w:rsid w:val="006C36DF"/>
    <w:rsid w:val="006C4EB1"/>
    <w:rsid w:val="006C5ABB"/>
    <w:rsid w:val="006C5AF2"/>
    <w:rsid w:val="006C61AD"/>
    <w:rsid w:val="006D405E"/>
    <w:rsid w:val="006E0166"/>
    <w:rsid w:val="006E3F97"/>
    <w:rsid w:val="006E5A5A"/>
    <w:rsid w:val="006E7B34"/>
    <w:rsid w:val="006F179A"/>
    <w:rsid w:val="006F2A97"/>
    <w:rsid w:val="006F386E"/>
    <w:rsid w:val="006F3F61"/>
    <w:rsid w:val="00701FF4"/>
    <w:rsid w:val="00702559"/>
    <w:rsid w:val="007025C1"/>
    <w:rsid w:val="00704BE8"/>
    <w:rsid w:val="0070697F"/>
    <w:rsid w:val="00707B80"/>
    <w:rsid w:val="0072199C"/>
    <w:rsid w:val="00722C9F"/>
    <w:rsid w:val="00723454"/>
    <w:rsid w:val="007249F6"/>
    <w:rsid w:val="007253B8"/>
    <w:rsid w:val="00725B49"/>
    <w:rsid w:val="00730AE8"/>
    <w:rsid w:val="0073240B"/>
    <w:rsid w:val="007325B3"/>
    <w:rsid w:val="00733AF0"/>
    <w:rsid w:val="0073631B"/>
    <w:rsid w:val="0073741F"/>
    <w:rsid w:val="00740FD1"/>
    <w:rsid w:val="007433E1"/>
    <w:rsid w:val="0074719D"/>
    <w:rsid w:val="0076522D"/>
    <w:rsid w:val="0076643F"/>
    <w:rsid w:val="00771931"/>
    <w:rsid w:val="00772BE1"/>
    <w:rsid w:val="00772F28"/>
    <w:rsid w:val="0077307B"/>
    <w:rsid w:val="00774333"/>
    <w:rsid w:val="00775155"/>
    <w:rsid w:val="00776B4C"/>
    <w:rsid w:val="00777A3C"/>
    <w:rsid w:val="00777F63"/>
    <w:rsid w:val="007806FE"/>
    <w:rsid w:val="00780D63"/>
    <w:rsid w:val="00781F0E"/>
    <w:rsid w:val="00784791"/>
    <w:rsid w:val="00784995"/>
    <w:rsid w:val="0078718C"/>
    <w:rsid w:val="00787C4F"/>
    <w:rsid w:val="00794F52"/>
    <w:rsid w:val="0079668B"/>
    <w:rsid w:val="007A0AF3"/>
    <w:rsid w:val="007A117C"/>
    <w:rsid w:val="007A15B4"/>
    <w:rsid w:val="007A2E94"/>
    <w:rsid w:val="007A469D"/>
    <w:rsid w:val="007A50C8"/>
    <w:rsid w:val="007A560B"/>
    <w:rsid w:val="007A5817"/>
    <w:rsid w:val="007A5EF8"/>
    <w:rsid w:val="007A702F"/>
    <w:rsid w:val="007A7502"/>
    <w:rsid w:val="007B213C"/>
    <w:rsid w:val="007B31A0"/>
    <w:rsid w:val="007B32F6"/>
    <w:rsid w:val="007B60E9"/>
    <w:rsid w:val="007B6CC3"/>
    <w:rsid w:val="007B73ED"/>
    <w:rsid w:val="007B7E7E"/>
    <w:rsid w:val="007B7F46"/>
    <w:rsid w:val="007C1352"/>
    <w:rsid w:val="007C3334"/>
    <w:rsid w:val="007C4260"/>
    <w:rsid w:val="007C677B"/>
    <w:rsid w:val="007C756A"/>
    <w:rsid w:val="007C78DE"/>
    <w:rsid w:val="007D23F6"/>
    <w:rsid w:val="007D2B98"/>
    <w:rsid w:val="007D587A"/>
    <w:rsid w:val="007D6927"/>
    <w:rsid w:val="007E21BC"/>
    <w:rsid w:val="007E23E1"/>
    <w:rsid w:val="007E5618"/>
    <w:rsid w:val="007F3B82"/>
    <w:rsid w:val="007F3F4A"/>
    <w:rsid w:val="007F409B"/>
    <w:rsid w:val="007F7E9A"/>
    <w:rsid w:val="00802589"/>
    <w:rsid w:val="00803F1C"/>
    <w:rsid w:val="0080600E"/>
    <w:rsid w:val="0080714F"/>
    <w:rsid w:val="008138B7"/>
    <w:rsid w:val="00815021"/>
    <w:rsid w:val="00817612"/>
    <w:rsid w:val="00820B53"/>
    <w:rsid w:val="008217E6"/>
    <w:rsid w:val="00823FEB"/>
    <w:rsid w:val="008266A7"/>
    <w:rsid w:val="00832C4F"/>
    <w:rsid w:val="0083362F"/>
    <w:rsid w:val="008338A4"/>
    <w:rsid w:val="00837C45"/>
    <w:rsid w:val="00841427"/>
    <w:rsid w:val="00844730"/>
    <w:rsid w:val="008457C2"/>
    <w:rsid w:val="00845A6B"/>
    <w:rsid w:val="00845D5D"/>
    <w:rsid w:val="00851570"/>
    <w:rsid w:val="00857A63"/>
    <w:rsid w:val="00857A82"/>
    <w:rsid w:val="00860D3A"/>
    <w:rsid w:val="00863E73"/>
    <w:rsid w:val="00867215"/>
    <w:rsid w:val="00870ACB"/>
    <w:rsid w:val="0087375D"/>
    <w:rsid w:val="008737B8"/>
    <w:rsid w:val="00873836"/>
    <w:rsid w:val="00873E7C"/>
    <w:rsid w:val="0087508D"/>
    <w:rsid w:val="00875DC6"/>
    <w:rsid w:val="00877994"/>
    <w:rsid w:val="00885737"/>
    <w:rsid w:val="00887712"/>
    <w:rsid w:val="00890650"/>
    <w:rsid w:val="00891516"/>
    <w:rsid w:val="00892B5F"/>
    <w:rsid w:val="00897E12"/>
    <w:rsid w:val="008A015D"/>
    <w:rsid w:val="008A23E1"/>
    <w:rsid w:val="008A4067"/>
    <w:rsid w:val="008A6075"/>
    <w:rsid w:val="008A7D6D"/>
    <w:rsid w:val="008A7E0F"/>
    <w:rsid w:val="008B12F5"/>
    <w:rsid w:val="008B2816"/>
    <w:rsid w:val="008B367C"/>
    <w:rsid w:val="008B379B"/>
    <w:rsid w:val="008B5076"/>
    <w:rsid w:val="008B6F59"/>
    <w:rsid w:val="008C0CAB"/>
    <w:rsid w:val="008C2181"/>
    <w:rsid w:val="008C3098"/>
    <w:rsid w:val="008C3124"/>
    <w:rsid w:val="008C3A79"/>
    <w:rsid w:val="008C6679"/>
    <w:rsid w:val="008D6A52"/>
    <w:rsid w:val="008D768D"/>
    <w:rsid w:val="008E3759"/>
    <w:rsid w:val="008F0B5B"/>
    <w:rsid w:val="008F16BF"/>
    <w:rsid w:val="008F1912"/>
    <w:rsid w:val="008F1B28"/>
    <w:rsid w:val="008F218A"/>
    <w:rsid w:val="008F604B"/>
    <w:rsid w:val="008F6856"/>
    <w:rsid w:val="008F7900"/>
    <w:rsid w:val="009014A4"/>
    <w:rsid w:val="0090270B"/>
    <w:rsid w:val="00903CEA"/>
    <w:rsid w:val="009041DC"/>
    <w:rsid w:val="00906775"/>
    <w:rsid w:val="00906CB0"/>
    <w:rsid w:val="00907C27"/>
    <w:rsid w:val="0091083E"/>
    <w:rsid w:val="00915920"/>
    <w:rsid w:val="00917B5A"/>
    <w:rsid w:val="00917C59"/>
    <w:rsid w:val="00917F7D"/>
    <w:rsid w:val="00920A58"/>
    <w:rsid w:val="00920A8C"/>
    <w:rsid w:val="0092111F"/>
    <w:rsid w:val="00921478"/>
    <w:rsid w:val="009222D0"/>
    <w:rsid w:val="00922644"/>
    <w:rsid w:val="00923B64"/>
    <w:rsid w:val="00924DA2"/>
    <w:rsid w:val="009254F1"/>
    <w:rsid w:val="009278B2"/>
    <w:rsid w:val="009304DF"/>
    <w:rsid w:val="00933072"/>
    <w:rsid w:val="009332CB"/>
    <w:rsid w:val="00934A2C"/>
    <w:rsid w:val="00937A8F"/>
    <w:rsid w:val="0094357D"/>
    <w:rsid w:val="009464BF"/>
    <w:rsid w:val="00946BC7"/>
    <w:rsid w:val="00946BF7"/>
    <w:rsid w:val="00951CBC"/>
    <w:rsid w:val="00953946"/>
    <w:rsid w:val="009560CF"/>
    <w:rsid w:val="0096199E"/>
    <w:rsid w:val="009642A3"/>
    <w:rsid w:val="0096706E"/>
    <w:rsid w:val="00971ECD"/>
    <w:rsid w:val="009754C7"/>
    <w:rsid w:val="00975C4E"/>
    <w:rsid w:val="00975FF7"/>
    <w:rsid w:val="00981FBA"/>
    <w:rsid w:val="0098485D"/>
    <w:rsid w:val="00990109"/>
    <w:rsid w:val="00990316"/>
    <w:rsid w:val="00992554"/>
    <w:rsid w:val="0099328F"/>
    <w:rsid w:val="00994D29"/>
    <w:rsid w:val="00997BC5"/>
    <w:rsid w:val="009A0BE3"/>
    <w:rsid w:val="009A4E67"/>
    <w:rsid w:val="009A4F41"/>
    <w:rsid w:val="009A58C6"/>
    <w:rsid w:val="009B0603"/>
    <w:rsid w:val="009B381B"/>
    <w:rsid w:val="009B5916"/>
    <w:rsid w:val="009C4EAA"/>
    <w:rsid w:val="009C6EE3"/>
    <w:rsid w:val="009D1753"/>
    <w:rsid w:val="009D3BE7"/>
    <w:rsid w:val="009D3F38"/>
    <w:rsid w:val="009D71ED"/>
    <w:rsid w:val="009D75E9"/>
    <w:rsid w:val="009D7611"/>
    <w:rsid w:val="009E0B61"/>
    <w:rsid w:val="009E1A90"/>
    <w:rsid w:val="009E45B9"/>
    <w:rsid w:val="009E53DE"/>
    <w:rsid w:val="009F2846"/>
    <w:rsid w:val="009F7101"/>
    <w:rsid w:val="00A02843"/>
    <w:rsid w:val="00A03BE6"/>
    <w:rsid w:val="00A14051"/>
    <w:rsid w:val="00A1446A"/>
    <w:rsid w:val="00A14FD6"/>
    <w:rsid w:val="00A205E2"/>
    <w:rsid w:val="00A212F4"/>
    <w:rsid w:val="00A243FE"/>
    <w:rsid w:val="00A2598E"/>
    <w:rsid w:val="00A26E57"/>
    <w:rsid w:val="00A31EB3"/>
    <w:rsid w:val="00A328B3"/>
    <w:rsid w:val="00A33B1E"/>
    <w:rsid w:val="00A35124"/>
    <w:rsid w:val="00A36160"/>
    <w:rsid w:val="00A3646B"/>
    <w:rsid w:val="00A37F0E"/>
    <w:rsid w:val="00A4381F"/>
    <w:rsid w:val="00A478FC"/>
    <w:rsid w:val="00A50FCF"/>
    <w:rsid w:val="00A528D1"/>
    <w:rsid w:val="00A532BE"/>
    <w:rsid w:val="00A53780"/>
    <w:rsid w:val="00A53B2B"/>
    <w:rsid w:val="00A57FC2"/>
    <w:rsid w:val="00A610CD"/>
    <w:rsid w:val="00A715B5"/>
    <w:rsid w:val="00A726D2"/>
    <w:rsid w:val="00A75E63"/>
    <w:rsid w:val="00A814FA"/>
    <w:rsid w:val="00A8524E"/>
    <w:rsid w:val="00A86FD6"/>
    <w:rsid w:val="00AA09A2"/>
    <w:rsid w:val="00AA7049"/>
    <w:rsid w:val="00AA7996"/>
    <w:rsid w:val="00AB72FA"/>
    <w:rsid w:val="00AC05BC"/>
    <w:rsid w:val="00AC1705"/>
    <w:rsid w:val="00AC173D"/>
    <w:rsid w:val="00AC19CB"/>
    <w:rsid w:val="00AC276E"/>
    <w:rsid w:val="00AC293E"/>
    <w:rsid w:val="00AC551B"/>
    <w:rsid w:val="00AC55D4"/>
    <w:rsid w:val="00AC6652"/>
    <w:rsid w:val="00AC6AC3"/>
    <w:rsid w:val="00AC78A6"/>
    <w:rsid w:val="00AC7C6A"/>
    <w:rsid w:val="00AD0D26"/>
    <w:rsid w:val="00AE42C3"/>
    <w:rsid w:val="00AE4FB3"/>
    <w:rsid w:val="00AE5488"/>
    <w:rsid w:val="00AE6F91"/>
    <w:rsid w:val="00AF5571"/>
    <w:rsid w:val="00AF6428"/>
    <w:rsid w:val="00AF7988"/>
    <w:rsid w:val="00B00CAC"/>
    <w:rsid w:val="00B010FA"/>
    <w:rsid w:val="00B01F7F"/>
    <w:rsid w:val="00B06E9E"/>
    <w:rsid w:val="00B07184"/>
    <w:rsid w:val="00B07341"/>
    <w:rsid w:val="00B07950"/>
    <w:rsid w:val="00B10C0E"/>
    <w:rsid w:val="00B1589E"/>
    <w:rsid w:val="00B16001"/>
    <w:rsid w:val="00B21154"/>
    <w:rsid w:val="00B214F6"/>
    <w:rsid w:val="00B2261D"/>
    <w:rsid w:val="00B2568D"/>
    <w:rsid w:val="00B257C2"/>
    <w:rsid w:val="00B30539"/>
    <w:rsid w:val="00B31122"/>
    <w:rsid w:val="00B314DB"/>
    <w:rsid w:val="00B31C0A"/>
    <w:rsid w:val="00B33F72"/>
    <w:rsid w:val="00B3413B"/>
    <w:rsid w:val="00B34CE7"/>
    <w:rsid w:val="00B361F2"/>
    <w:rsid w:val="00B3718B"/>
    <w:rsid w:val="00B405AB"/>
    <w:rsid w:val="00B4632A"/>
    <w:rsid w:val="00B513B1"/>
    <w:rsid w:val="00B52C39"/>
    <w:rsid w:val="00B530F1"/>
    <w:rsid w:val="00B54697"/>
    <w:rsid w:val="00B54A0C"/>
    <w:rsid w:val="00B5607A"/>
    <w:rsid w:val="00B56497"/>
    <w:rsid w:val="00B578FF"/>
    <w:rsid w:val="00B61707"/>
    <w:rsid w:val="00B62988"/>
    <w:rsid w:val="00B632D6"/>
    <w:rsid w:val="00B64A81"/>
    <w:rsid w:val="00B660CB"/>
    <w:rsid w:val="00B6761B"/>
    <w:rsid w:val="00B67E09"/>
    <w:rsid w:val="00B76617"/>
    <w:rsid w:val="00B812F9"/>
    <w:rsid w:val="00B8466D"/>
    <w:rsid w:val="00B86973"/>
    <w:rsid w:val="00B87411"/>
    <w:rsid w:val="00B91683"/>
    <w:rsid w:val="00B966F6"/>
    <w:rsid w:val="00BA0EFE"/>
    <w:rsid w:val="00BA276C"/>
    <w:rsid w:val="00BA461E"/>
    <w:rsid w:val="00BB208D"/>
    <w:rsid w:val="00BB306F"/>
    <w:rsid w:val="00BB41FC"/>
    <w:rsid w:val="00BB5697"/>
    <w:rsid w:val="00BB6A23"/>
    <w:rsid w:val="00BB7BFC"/>
    <w:rsid w:val="00BC1180"/>
    <w:rsid w:val="00BC266C"/>
    <w:rsid w:val="00BD03F8"/>
    <w:rsid w:val="00BD04F3"/>
    <w:rsid w:val="00BD4B89"/>
    <w:rsid w:val="00BE176C"/>
    <w:rsid w:val="00BE1869"/>
    <w:rsid w:val="00BE1D87"/>
    <w:rsid w:val="00BE36BC"/>
    <w:rsid w:val="00BE7E74"/>
    <w:rsid w:val="00BF02CB"/>
    <w:rsid w:val="00BF0931"/>
    <w:rsid w:val="00BF118F"/>
    <w:rsid w:val="00BF11D3"/>
    <w:rsid w:val="00BF477A"/>
    <w:rsid w:val="00BF4960"/>
    <w:rsid w:val="00BF6FD8"/>
    <w:rsid w:val="00BF7571"/>
    <w:rsid w:val="00C03680"/>
    <w:rsid w:val="00C054DF"/>
    <w:rsid w:val="00C05FCE"/>
    <w:rsid w:val="00C07773"/>
    <w:rsid w:val="00C07B57"/>
    <w:rsid w:val="00C10C7A"/>
    <w:rsid w:val="00C1316E"/>
    <w:rsid w:val="00C136AE"/>
    <w:rsid w:val="00C171EA"/>
    <w:rsid w:val="00C213C7"/>
    <w:rsid w:val="00C21762"/>
    <w:rsid w:val="00C22527"/>
    <w:rsid w:val="00C24543"/>
    <w:rsid w:val="00C256A2"/>
    <w:rsid w:val="00C31B35"/>
    <w:rsid w:val="00C34B6A"/>
    <w:rsid w:val="00C35903"/>
    <w:rsid w:val="00C40789"/>
    <w:rsid w:val="00C43DF2"/>
    <w:rsid w:val="00C447C2"/>
    <w:rsid w:val="00C45998"/>
    <w:rsid w:val="00C46EE5"/>
    <w:rsid w:val="00C473FD"/>
    <w:rsid w:val="00C47C20"/>
    <w:rsid w:val="00C50512"/>
    <w:rsid w:val="00C51515"/>
    <w:rsid w:val="00C554E3"/>
    <w:rsid w:val="00C5660B"/>
    <w:rsid w:val="00C566D8"/>
    <w:rsid w:val="00C610A7"/>
    <w:rsid w:val="00C62357"/>
    <w:rsid w:val="00C62656"/>
    <w:rsid w:val="00C62A75"/>
    <w:rsid w:val="00C62F00"/>
    <w:rsid w:val="00C66B72"/>
    <w:rsid w:val="00C7460A"/>
    <w:rsid w:val="00C747F7"/>
    <w:rsid w:val="00C74CDF"/>
    <w:rsid w:val="00C74E0E"/>
    <w:rsid w:val="00C80E97"/>
    <w:rsid w:val="00C810D8"/>
    <w:rsid w:val="00C868D0"/>
    <w:rsid w:val="00C9432A"/>
    <w:rsid w:val="00C94980"/>
    <w:rsid w:val="00C9567A"/>
    <w:rsid w:val="00C9703F"/>
    <w:rsid w:val="00C97129"/>
    <w:rsid w:val="00CA5C42"/>
    <w:rsid w:val="00CA6F08"/>
    <w:rsid w:val="00CA7D1F"/>
    <w:rsid w:val="00CA7F17"/>
    <w:rsid w:val="00CB0C28"/>
    <w:rsid w:val="00CB1927"/>
    <w:rsid w:val="00CB1F8C"/>
    <w:rsid w:val="00CB212D"/>
    <w:rsid w:val="00CB2583"/>
    <w:rsid w:val="00CB2660"/>
    <w:rsid w:val="00CB44BF"/>
    <w:rsid w:val="00CC0DBC"/>
    <w:rsid w:val="00CC12D9"/>
    <w:rsid w:val="00CC3997"/>
    <w:rsid w:val="00CC4F76"/>
    <w:rsid w:val="00CC534C"/>
    <w:rsid w:val="00CC5E90"/>
    <w:rsid w:val="00CC63CF"/>
    <w:rsid w:val="00CC6D4F"/>
    <w:rsid w:val="00CD046C"/>
    <w:rsid w:val="00CD0AEB"/>
    <w:rsid w:val="00CD0E5C"/>
    <w:rsid w:val="00CD16BF"/>
    <w:rsid w:val="00CD2AAD"/>
    <w:rsid w:val="00CD2D86"/>
    <w:rsid w:val="00CD3235"/>
    <w:rsid w:val="00CD39FF"/>
    <w:rsid w:val="00CE076C"/>
    <w:rsid w:val="00CE5199"/>
    <w:rsid w:val="00CE66D5"/>
    <w:rsid w:val="00CE7325"/>
    <w:rsid w:val="00CF3F2A"/>
    <w:rsid w:val="00CF42FA"/>
    <w:rsid w:val="00CF44E9"/>
    <w:rsid w:val="00CF637A"/>
    <w:rsid w:val="00D03840"/>
    <w:rsid w:val="00D04B21"/>
    <w:rsid w:val="00D04F8A"/>
    <w:rsid w:val="00D059DE"/>
    <w:rsid w:val="00D05A09"/>
    <w:rsid w:val="00D12193"/>
    <w:rsid w:val="00D134EB"/>
    <w:rsid w:val="00D13FCE"/>
    <w:rsid w:val="00D143EC"/>
    <w:rsid w:val="00D15A8C"/>
    <w:rsid w:val="00D17B0D"/>
    <w:rsid w:val="00D2389D"/>
    <w:rsid w:val="00D238CB"/>
    <w:rsid w:val="00D24EE1"/>
    <w:rsid w:val="00D25FCF"/>
    <w:rsid w:val="00D306D1"/>
    <w:rsid w:val="00D3118C"/>
    <w:rsid w:val="00D31D6F"/>
    <w:rsid w:val="00D34786"/>
    <w:rsid w:val="00D37320"/>
    <w:rsid w:val="00D37BFC"/>
    <w:rsid w:val="00D43119"/>
    <w:rsid w:val="00D43ED2"/>
    <w:rsid w:val="00D44A9F"/>
    <w:rsid w:val="00D472BC"/>
    <w:rsid w:val="00D4756B"/>
    <w:rsid w:val="00D47A8E"/>
    <w:rsid w:val="00D47E32"/>
    <w:rsid w:val="00D52D14"/>
    <w:rsid w:val="00D54A1F"/>
    <w:rsid w:val="00D55C32"/>
    <w:rsid w:val="00D56B11"/>
    <w:rsid w:val="00D6134E"/>
    <w:rsid w:val="00D613E7"/>
    <w:rsid w:val="00D65469"/>
    <w:rsid w:val="00D6552A"/>
    <w:rsid w:val="00D67147"/>
    <w:rsid w:val="00D67568"/>
    <w:rsid w:val="00D675DF"/>
    <w:rsid w:val="00D676DC"/>
    <w:rsid w:val="00D70DA7"/>
    <w:rsid w:val="00D712D3"/>
    <w:rsid w:val="00D71422"/>
    <w:rsid w:val="00D72DC6"/>
    <w:rsid w:val="00D74349"/>
    <w:rsid w:val="00D7558D"/>
    <w:rsid w:val="00D7705F"/>
    <w:rsid w:val="00D81D92"/>
    <w:rsid w:val="00D83D73"/>
    <w:rsid w:val="00D86F16"/>
    <w:rsid w:val="00D96CB5"/>
    <w:rsid w:val="00D96E66"/>
    <w:rsid w:val="00D97754"/>
    <w:rsid w:val="00DA3739"/>
    <w:rsid w:val="00DA5D8F"/>
    <w:rsid w:val="00DA7B5F"/>
    <w:rsid w:val="00DB4E9E"/>
    <w:rsid w:val="00DB5390"/>
    <w:rsid w:val="00DC11E7"/>
    <w:rsid w:val="00DC460F"/>
    <w:rsid w:val="00DC592B"/>
    <w:rsid w:val="00DC7023"/>
    <w:rsid w:val="00DC769A"/>
    <w:rsid w:val="00DD3D86"/>
    <w:rsid w:val="00DD66B2"/>
    <w:rsid w:val="00DE2276"/>
    <w:rsid w:val="00DE2600"/>
    <w:rsid w:val="00DE65B7"/>
    <w:rsid w:val="00DE72AA"/>
    <w:rsid w:val="00DF0D2E"/>
    <w:rsid w:val="00DF1EC4"/>
    <w:rsid w:val="00DF2B76"/>
    <w:rsid w:val="00DF6298"/>
    <w:rsid w:val="00DF64FA"/>
    <w:rsid w:val="00DF6C34"/>
    <w:rsid w:val="00DF6FFF"/>
    <w:rsid w:val="00E0340B"/>
    <w:rsid w:val="00E04A90"/>
    <w:rsid w:val="00E06447"/>
    <w:rsid w:val="00E11607"/>
    <w:rsid w:val="00E128DA"/>
    <w:rsid w:val="00E135CE"/>
    <w:rsid w:val="00E166DE"/>
    <w:rsid w:val="00E2026F"/>
    <w:rsid w:val="00E20B66"/>
    <w:rsid w:val="00E216D1"/>
    <w:rsid w:val="00E219C7"/>
    <w:rsid w:val="00E27448"/>
    <w:rsid w:val="00E30353"/>
    <w:rsid w:val="00E31740"/>
    <w:rsid w:val="00E35D96"/>
    <w:rsid w:val="00E3769A"/>
    <w:rsid w:val="00E37BB5"/>
    <w:rsid w:val="00E412DC"/>
    <w:rsid w:val="00E41D05"/>
    <w:rsid w:val="00E43157"/>
    <w:rsid w:val="00E461CE"/>
    <w:rsid w:val="00E469C1"/>
    <w:rsid w:val="00E46E87"/>
    <w:rsid w:val="00E470C7"/>
    <w:rsid w:val="00E51BE4"/>
    <w:rsid w:val="00E539BC"/>
    <w:rsid w:val="00E5453D"/>
    <w:rsid w:val="00E606C8"/>
    <w:rsid w:val="00E6403D"/>
    <w:rsid w:val="00E65077"/>
    <w:rsid w:val="00E65523"/>
    <w:rsid w:val="00E65639"/>
    <w:rsid w:val="00E65813"/>
    <w:rsid w:val="00E70859"/>
    <w:rsid w:val="00E720CA"/>
    <w:rsid w:val="00E739B1"/>
    <w:rsid w:val="00E75660"/>
    <w:rsid w:val="00E80645"/>
    <w:rsid w:val="00E810C3"/>
    <w:rsid w:val="00E81E99"/>
    <w:rsid w:val="00E826A6"/>
    <w:rsid w:val="00E84EB5"/>
    <w:rsid w:val="00E85662"/>
    <w:rsid w:val="00E866CA"/>
    <w:rsid w:val="00E8789F"/>
    <w:rsid w:val="00E87CF6"/>
    <w:rsid w:val="00E909AA"/>
    <w:rsid w:val="00E9277F"/>
    <w:rsid w:val="00E95BCB"/>
    <w:rsid w:val="00E97797"/>
    <w:rsid w:val="00E97B71"/>
    <w:rsid w:val="00EA0499"/>
    <w:rsid w:val="00EA0C18"/>
    <w:rsid w:val="00EA0FA6"/>
    <w:rsid w:val="00EA2F2E"/>
    <w:rsid w:val="00EA3835"/>
    <w:rsid w:val="00EA3D34"/>
    <w:rsid w:val="00EA41AB"/>
    <w:rsid w:val="00EA5C18"/>
    <w:rsid w:val="00EB06E2"/>
    <w:rsid w:val="00EB4515"/>
    <w:rsid w:val="00EB454D"/>
    <w:rsid w:val="00EB6842"/>
    <w:rsid w:val="00EB6EF9"/>
    <w:rsid w:val="00EB6F50"/>
    <w:rsid w:val="00EC2703"/>
    <w:rsid w:val="00ED76BE"/>
    <w:rsid w:val="00EE212E"/>
    <w:rsid w:val="00EF034A"/>
    <w:rsid w:val="00EF12E7"/>
    <w:rsid w:val="00EF1C74"/>
    <w:rsid w:val="00EF23CA"/>
    <w:rsid w:val="00EF3C32"/>
    <w:rsid w:val="00EF4235"/>
    <w:rsid w:val="00EF619B"/>
    <w:rsid w:val="00F00B55"/>
    <w:rsid w:val="00F0227F"/>
    <w:rsid w:val="00F025CE"/>
    <w:rsid w:val="00F02AD1"/>
    <w:rsid w:val="00F12B1E"/>
    <w:rsid w:val="00F12F1C"/>
    <w:rsid w:val="00F14610"/>
    <w:rsid w:val="00F15880"/>
    <w:rsid w:val="00F17B39"/>
    <w:rsid w:val="00F2190F"/>
    <w:rsid w:val="00F21A7B"/>
    <w:rsid w:val="00F21B43"/>
    <w:rsid w:val="00F22E10"/>
    <w:rsid w:val="00F243B0"/>
    <w:rsid w:val="00F253CC"/>
    <w:rsid w:val="00F266BD"/>
    <w:rsid w:val="00F2732F"/>
    <w:rsid w:val="00F31D47"/>
    <w:rsid w:val="00F326BD"/>
    <w:rsid w:val="00F36A37"/>
    <w:rsid w:val="00F37106"/>
    <w:rsid w:val="00F43C31"/>
    <w:rsid w:val="00F443F9"/>
    <w:rsid w:val="00F45C8C"/>
    <w:rsid w:val="00F519CF"/>
    <w:rsid w:val="00F56BA5"/>
    <w:rsid w:val="00F606EA"/>
    <w:rsid w:val="00F60E22"/>
    <w:rsid w:val="00F62311"/>
    <w:rsid w:val="00F62BF4"/>
    <w:rsid w:val="00F63136"/>
    <w:rsid w:val="00F673F3"/>
    <w:rsid w:val="00F70998"/>
    <w:rsid w:val="00F73104"/>
    <w:rsid w:val="00F75210"/>
    <w:rsid w:val="00F779A3"/>
    <w:rsid w:val="00F805FB"/>
    <w:rsid w:val="00F807EA"/>
    <w:rsid w:val="00F80F0F"/>
    <w:rsid w:val="00F81395"/>
    <w:rsid w:val="00F83B29"/>
    <w:rsid w:val="00F84130"/>
    <w:rsid w:val="00F85442"/>
    <w:rsid w:val="00F866F6"/>
    <w:rsid w:val="00F8718D"/>
    <w:rsid w:val="00F902EB"/>
    <w:rsid w:val="00F917D1"/>
    <w:rsid w:val="00F92F8B"/>
    <w:rsid w:val="00F9653B"/>
    <w:rsid w:val="00FA239E"/>
    <w:rsid w:val="00FA3BBF"/>
    <w:rsid w:val="00FA55CE"/>
    <w:rsid w:val="00FA6402"/>
    <w:rsid w:val="00FA6BBD"/>
    <w:rsid w:val="00FA7B5C"/>
    <w:rsid w:val="00FB3B6F"/>
    <w:rsid w:val="00FB3F7D"/>
    <w:rsid w:val="00FB5902"/>
    <w:rsid w:val="00FB5A91"/>
    <w:rsid w:val="00FB62CF"/>
    <w:rsid w:val="00FC02A8"/>
    <w:rsid w:val="00FC09B5"/>
    <w:rsid w:val="00FC3DD2"/>
    <w:rsid w:val="00FC78AB"/>
    <w:rsid w:val="00FD2E67"/>
    <w:rsid w:val="00FD3C3B"/>
    <w:rsid w:val="00FD49AA"/>
    <w:rsid w:val="00FD5A99"/>
    <w:rsid w:val="00FD6473"/>
    <w:rsid w:val="00FD6E0F"/>
    <w:rsid w:val="00FE0038"/>
    <w:rsid w:val="00FE07DD"/>
    <w:rsid w:val="00FE0A84"/>
    <w:rsid w:val="00FE5DFD"/>
    <w:rsid w:val="00FE6B45"/>
    <w:rsid w:val="00FF0432"/>
    <w:rsid w:val="00FF55F3"/>
    <w:rsid w:val="00FF5851"/>
    <w:rsid w:val="00FF59BD"/>
    <w:rsid w:val="00FF645B"/>
    <w:rsid w:val="00FF716D"/>
    <w:rsid w:val="00FF7B79"/>
    <w:rsid w:val="00FF7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5AE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CO"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semiHidden/>
    <w:unhideWhenUsed/>
    <w:qFormat/>
    <w:rsid w:val="008025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E2026F"/>
    <w:pPr>
      <w:tabs>
        <w:tab w:val="left" w:pos="72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9560CF"/>
    <w:rPr>
      <w:sz w:val="16"/>
      <w:szCs w:val="16"/>
    </w:rPr>
  </w:style>
  <w:style w:type="paragraph" w:styleId="CommentText">
    <w:name w:val="annotation text"/>
    <w:basedOn w:val="Normal"/>
    <w:link w:val="CommentTextChar"/>
    <w:uiPriority w:val="99"/>
    <w:semiHidden/>
    <w:unhideWhenUsed/>
    <w:rsid w:val="009560CF"/>
    <w:rPr>
      <w:sz w:val="20"/>
      <w:szCs w:val="20"/>
    </w:rPr>
  </w:style>
  <w:style w:type="character" w:customStyle="1" w:styleId="CommentTextChar">
    <w:name w:val="Comment Text Char"/>
    <w:basedOn w:val="DefaultParagraphFont"/>
    <w:link w:val="CommentText"/>
    <w:uiPriority w:val="99"/>
    <w:semiHidden/>
    <w:rsid w:val="009560CF"/>
    <w:rPr>
      <w:lang w:val="en-US" w:eastAsia="en-US"/>
    </w:rPr>
  </w:style>
  <w:style w:type="paragraph" w:styleId="CommentSubject">
    <w:name w:val="annotation subject"/>
    <w:basedOn w:val="CommentText"/>
    <w:next w:val="CommentText"/>
    <w:link w:val="CommentSubjectChar"/>
    <w:uiPriority w:val="99"/>
    <w:semiHidden/>
    <w:unhideWhenUsed/>
    <w:rsid w:val="009560CF"/>
    <w:rPr>
      <w:b/>
      <w:bCs/>
    </w:rPr>
  </w:style>
  <w:style w:type="character" w:customStyle="1" w:styleId="CommentSubjectChar">
    <w:name w:val="Comment Subject Char"/>
    <w:basedOn w:val="CommentTextChar"/>
    <w:link w:val="CommentSubject"/>
    <w:uiPriority w:val="99"/>
    <w:semiHidden/>
    <w:rsid w:val="009560CF"/>
    <w:rPr>
      <w:b/>
      <w:bCs/>
      <w:lang w:val="en-US" w:eastAsia="en-US"/>
    </w:rPr>
  </w:style>
  <w:style w:type="character" w:customStyle="1" w:styleId="Heading5Char">
    <w:name w:val="Heading 5 Char"/>
    <w:basedOn w:val="DefaultParagraphFont"/>
    <w:link w:val="Heading5"/>
    <w:uiPriority w:val="9"/>
    <w:semiHidden/>
    <w:rsid w:val="00802589"/>
    <w:rPr>
      <w:rFonts w:asciiTheme="majorHAnsi" w:eastAsiaTheme="majorEastAsia" w:hAnsiTheme="majorHAnsi" w:cstheme="majorBidi"/>
      <w:color w:val="243F60" w:themeColor="accent1" w:themeShade="7F"/>
      <w:sz w:val="24"/>
      <w:szCs w:val="24"/>
      <w:lang w:val="en-US" w:eastAsia="en-US"/>
    </w:rPr>
  </w:style>
  <w:style w:type="character" w:styleId="Strong">
    <w:name w:val="Strong"/>
    <w:uiPriority w:val="22"/>
    <w:qFormat/>
    <w:rsid w:val="00D04B21"/>
    <w:rPr>
      <w:b/>
      <w:bCs/>
    </w:rPr>
  </w:style>
  <w:style w:type="paragraph" w:styleId="TOCHeading">
    <w:name w:val="TOC Heading"/>
    <w:basedOn w:val="Heading1"/>
    <w:next w:val="Normal"/>
    <w:uiPriority w:val="39"/>
    <w:semiHidden/>
    <w:unhideWhenUsed/>
    <w:qFormat/>
    <w:rsid w:val="00E2026F"/>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1">
    <w:name w:val="1"/>
    <w:basedOn w:val="Normal"/>
    <w:rsid w:val="00E6552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BodyTextIndentChar">
    <w:name w:val="Body Text Indent Char"/>
    <w:basedOn w:val="DefaultParagraphFont"/>
    <w:link w:val="BodyTextIndent"/>
    <w:rsid w:val="00924DA2"/>
    <w:rPr>
      <w:rFonts w:eastAsia="Times New Roman"/>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100598">
      <w:bodyDiv w:val="1"/>
      <w:marLeft w:val="0"/>
      <w:marRight w:val="0"/>
      <w:marTop w:val="0"/>
      <w:marBottom w:val="0"/>
      <w:divBdr>
        <w:top w:val="none" w:sz="0" w:space="0" w:color="auto"/>
        <w:left w:val="none" w:sz="0" w:space="0" w:color="auto"/>
        <w:bottom w:val="none" w:sz="0" w:space="0" w:color="auto"/>
        <w:right w:val="none" w:sz="0" w:space="0" w:color="auto"/>
      </w:divBdr>
      <w:divsChild>
        <w:div w:id="675695201">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7"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6"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5"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44B0-436B-465D-B05E-FEBF709B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10365</Words>
  <Characters>59085</Characters>
  <Application>Microsoft Office Word</Application>
  <DocSecurity>0</DocSecurity>
  <Lines>492</Lines>
  <Paragraphs>138</Paragraphs>
  <ScaleCrop>false</ScaleCrop>
  <Company/>
  <LinksUpToDate>false</LinksUpToDate>
  <CharactersWithSpaces>69312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2020-10-28T22:44:00Z</dcterms:created>
  <dcterms:modified xsi:type="dcterms:W3CDTF">2020-10-28T22:44:00Z</dcterms:modified>
</cp:coreProperties>
</file>